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FFAFC">
      <w:pPr>
        <w:spacing w:line="500" w:lineRule="exact"/>
        <w:ind w:left="-424" w:leftChars="-202" w:right="-340" w:rightChars="-16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 xml:space="preserve"> 东涌镇</w:t>
      </w:r>
      <w:r>
        <w:rPr>
          <w:rFonts w:hint="eastAsia" w:ascii="宋体" w:hAnsi="宋体" w:eastAsia="宋体" w:cs="宋体"/>
          <w:b/>
          <w:bCs/>
          <w:sz w:val="44"/>
          <w:szCs w:val="44"/>
          <w:lang w:val="en-US" w:eastAsia="zh-CN"/>
        </w:rPr>
        <w:t>石基</w:t>
      </w:r>
      <w:r>
        <w:rPr>
          <w:rFonts w:hint="eastAsia" w:ascii="宋体" w:hAnsi="宋体" w:eastAsia="宋体" w:cs="宋体"/>
          <w:b/>
          <w:bCs/>
          <w:sz w:val="44"/>
          <w:szCs w:val="44"/>
        </w:rPr>
        <w:t>村</w:t>
      </w:r>
      <w:r>
        <w:rPr>
          <w:rFonts w:hint="eastAsia" w:ascii="宋体" w:hAnsi="宋体" w:eastAsia="宋体" w:cs="宋体"/>
          <w:b/>
          <w:bCs/>
          <w:color w:val="auto"/>
          <w:kern w:val="0"/>
          <w:sz w:val="44"/>
          <w:szCs w:val="44"/>
          <w:u w:val="none"/>
          <w:lang w:val="en-US" w:eastAsia="zh-CN"/>
        </w:rPr>
        <w:t>新涌北二街68号</w:t>
      </w:r>
      <w:r>
        <w:rPr>
          <w:rFonts w:hint="eastAsia" w:ascii="宋体" w:hAnsi="宋体" w:eastAsia="宋体" w:cs="宋体"/>
          <w:b/>
          <w:bCs/>
          <w:color w:val="auto"/>
          <w:kern w:val="0"/>
          <w:sz w:val="44"/>
          <w:szCs w:val="44"/>
          <w:u w:val="none"/>
        </w:rPr>
        <w:t>地块</w:t>
      </w:r>
      <w:r>
        <w:rPr>
          <w:rFonts w:hint="eastAsia" w:ascii="宋体" w:hAnsi="宋体" w:eastAsia="宋体" w:cs="宋体"/>
          <w:b/>
          <w:bCs/>
          <w:sz w:val="44"/>
          <w:szCs w:val="44"/>
        </w:rPr>
        <w:t>出租项目交易</w:t>
      </w:r>
      <w:r>
        <w:rPr>
          <w:rFonts w:hint="eastAsia" w:ascii="宋体" w:hAnsi="宋体" w:eastAsia="宋体" w:cs="宋体"/>
          <w:b/>
          <w:bCs/>
          <w:sz w:val="44"/>
          <w:szCs w:val="44"/>
          <w:lang w:val="en-US" w:eastAsia="zh-CN"/>
        </w:rPr>
        <w:t>公告</w:t>
      </w:r>
    </w:p>
    <w:p w14:paraId="19DC9215">
      <w:pPr>
        <w:spacing w:line="500" w:lineRule="exact"/>
        <w:ind w:left="-424" w:leftChars="-202" w:right="-340" w:rightChars="-162"/>
        <w:jc w:val="center"/>
        <w:rPr>
          <w:rFonts w:ascii="宋体" w:hAnsi="宋体" w:eastAsia="宋体" w:cs="宋体"/>
          <w:sz w:val="30"/>
          <w:szCs w:val="30"/>
        </w:rPr>
      </w:pPr>
    </w:p>
    <w:p w14:paraId="4FA5A779">
      <w:pPr>
        <w:spacing w:line="500" w:lineRule="exact"/>
        <w:jc w:val="center"/>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【前言】</w:t>
      </w:r>
    </w:p>
    <w:p w14:paraId="30AD4198">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1.本交易公告是广州农村产权交易所有限公司（简称：广州农交所）接受本项目出租方的委托而发布的。本次项目所有信息均由项目出租方以书面形式提供，由项目出租方对信息的真实性负责。</w:t>
      </w:r>
    </w:p>
    <w:p w14:paraId="24C0B7F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2.本项目以现状为准，本交易公告提供的本项目的说明和提供的图片资料等，仅供意向受让（承租）方参考，不构成对项目的任何担保。请意向受让（承租）方在报名参与竞价前必须仔细审查本项目的情况，调查项目的权属情况、合法性、是否存在未决的纠纷等（不限于上述情形）情况和是否存在其他瑕疵（提醒：请意向受让（承租）方务必仔细审阅本公告“项目基本情况”对“产权证及相关批准文件办理情况”的披露）。意向受让（承租）方应认真研究查看项目的实际情况，并请亲自实地看样，未看样的意向受让（承租）方视为对本项目现状的确认，意向受让（承租）方一旦作出交易报名的，即表明已完全了解，并接受项目的现状和一切已知及未知的瑕疵，责任自负，并对有关承诺承担法律责任。</w:t>
      </w:r>
    </w:p>
    <w:p w14:paraId="466E20C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3.广州农交所不对进场交易的项目的质量瑕疵、权属合法性瑕疵以及合同违约等风险承担法律责任。</w:t>
      </w:r>
    </w:p>
    <w:p w14:paraId="2CBBE96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p>
    <w:p w14:paraId="0533C306">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广州农交所受广州市南沙区东涌镇石基股份合作经济联合社委托，按照《广州农村产权交易所有限公司农村集体资产交易规则(试行)》的规定，对东涌镇石基村新涌北二街68号地块出租项目组织公开竞价，欢迎符合资格条件的意向受让（承租）方参与竞价。</w:t>
      </w:r>
    </w:p>
    <w:p w14:paraId="53B9D2A6">
      <w:pPr>
        <w:spacing w:line="520" w:lineRule="exact"/>
        <w:ind w:firstLine="562" w:firstLineChars="200"/>
        <w:rPr>
          <w:rFonts w:hint="eastAsia" w:ascii="宋体" w:hAnsi="宋体" w:eastAsia="宋体" w:cs="宋体"/>
          <w:b/>
          <w:bCs/>
          <w:sz w:val="28"/>
          <w:szCs w:val="28"/>
          <w14:ligatures w14:val="none"/>
        </w:rPr>
      </w:pPr>
      <w:r>
        <w:rPr>
          <w:rFonts w:hint="eastAsia" w:ascii="宋体" w:hAnsi="宋体" w:eastAsia="宋体" w:cs="宋体"/>
          <w:b/>
          <w:bCs/>
          <w:sz w:val="28"/>
          <w:szCs w:val="28"/>
          <w14:ligatures w14:val="none"/>
        </w:rPr>
        <w:t>一、项目基本情况</w:t>
      </w:r>
    </w:p>
    <w:p w14:paraId="1AD31395">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（一）资产名称：</w:t>
      </w:r>
      <w:bookmarkStart w:id="0" w:name="OLE_LINK12"/>
      <w:bookmarkStart w:id="1" w:name="OLE_LINK1"/>
      <w:r>
        <w:rPr>
          <w:rFonts w:hint="eastAsia" w:ascii="宋体" w:hAnsi="宋体" w:eastAsia="宋体" w:cs="宋体"/>
          <w:sz w:val="28"/>
          <w:szCs w:val="28"/>
          <w:u w:val="single"/>
          <w:lang w:val="en-US" w:eastAsia="zh-CN"/>
          <w14:ligatures w14:val="none"/>
        </w:rPr>
        <w:t>石基村新涌北二街68号</w:t>
      </w:r>
      <w:r>
        <w:rPr>
          <w:rFonts w:hint="eastAsia" w:ascii="宋体" w:hAnsi="宋体" w:eastAsia="宋体" w:cs="宋体"/>
          <w:sz w:val="28"/>
          <w:szCs w:val="28"/>
          <w:u w:val="single"/>
          <w14:ligatures w14:val="none"/>
        </w:rPr>
        <w:t>地块</w:t>
      </w:r>
      <w:bookmarkEnd w:id="0"/>
      <w:bookmarkEnd w:id="1"/>
      <w:r>
        <w:rPr>
          <w:rFonts w:hint="eastAsia" w:ascii="宋体" w:hAnsi="宋体" w:eastAsia="宋体" w:cs="宋体"/>
          <w:sz w:val="28"/>
          <w:szCs w:val="28"/>
          <w14:ligatures w14:val="none"/>
        </w:rPr>
        <w:t>；</w:t>
      </w:r>
    </w:p>
    <w:p w14:paraId="2EA2F679">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（二）资产类型：</w:t>
      </w:r>
      <w:bookmarkStart w:id="2" w:name="OLE_LINK19"/>
      <w:r>
        <w:rPr>
          <w:rFonts w:hint="eastAsia" w:ascii="宋体" w:hAnsi="宋体" w:eastAsia="宋体" w:cs="宋体"/>
          <w:sz w:val="28"/>
          <w:szCs w:val="28"/>
          <w:u w:val="single"/>
          <w:lang w:val="en-US" w:eastAsia="zh-CN"/>
          <w14:ligatures w14:val="none"/>
        </w:rPr>
        <w:t>工业用地</w:t>
      </w:r>
      <w:bookmarkEnd w:id="2"/>
      <w:r>
        <w:rPr>
          <w:rFonts w:hint="eastAsia" w:ascii="宋体" w:hAnsi="宋体" w:eastAsia="宋体" w:cs="宋体"/>
          <w:sz w:val="28"/>
          <w:szCs w:val="28"/>
          <w14:ligatures w14:val="none"/>
        </w:rPr>
        <w:t>；</w:t>
      </w:r>
    </w:p>
    <w:p w14:paraId="3CD65467">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（三）资产地址：</w:t>
      </w:r>
      <w:bookmarkStart w:id="3" w:name="OLE_LINK17"/>
      <w:r>
        <w:rPr>
          <w:rFonts w:hint="eastAsia" w:ascii="宋体" w:hAnsi="宋体" w:eastAsia="宋体" w:cs="宋体"/>
          <w:sz w:val="28"/>
          <w:szCs w:val="28"/>
          <w:u w:val="single"/>
          <w:lang w:val="en-US" w:eastAsia="zh-CN"/>
          <w14:ligatures w14:val="none"/>
        </w:rPr>
        <w:t>石基村新涌北二街68号</w:t>
      </w:r>
      <w:bookmarkEnd w:id="3"/>
      <w:r>
        <w:rPr>
          <w:rFonts w:hint="eastAsia" w:ascii="宋体" w:hAnsi="宋体" w:eastAsia="宋体" w:cs="宋体"/>
          <w:sz w:val="28"/>
          <w:szCs w:val="28"/>
          <w14:ligatures w14:val="none"/>
        </w:rPr>
        <w:t>；</w:t>
      </w:r>
    </w:p>
    <w:p w14:paraId="0570C21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（四）交易面积：</w:t>
      </w:r>
      <w:r>
        <w:rPr>
          <w:rFonts w:hint="eastAsia" w:ascii="宋体" w:hAnsi="宋体" w:eastAsia="宋体" w:cs="宋体"/>
          <w:sz w:val="28"/>
          <w:szCs w:val="28"/>
          <w:u w:val="single"/>
          <w:lang w:val="en-US" w:eastAsia="zh-CN"/>
          <w14:ligatures w14:val="none"/>
        </w:rPr>
        <w:t>用地面积5423.69</w:t>
      </w:r>
      <w:r>
        <w:rPr>
          <w:rFonts w:hint="eastAsia" w:ascii="宋体" w:hAnsi="宋体" w:eastAsia="宋体" w:cs="宋体"/>
          <w:sz w:val="28"/>
          <w:szCs w:val="28"/>
          <w:u w:val="single"/>
          <w14:ligatures w14:val="none"/>
        </w:rPr>
        <w:t>平方米</w:t>
      </w:r>
      <w:r>
        <w:rPr>
          <w:rFonts w:hint="eastAsia" w:ascii="宋体" w:hAnsi="宋体" w:eastAsia="宋体" w:cs="宋体"/>
          <w:sz w:val="28"/>
          <w:szCs w:val="28"/>
          <w:u w:val="single"/>
          <w:lang w:eastAsia="zh-CN"/>
          <w14:ligatures w14:val="none"/>
        </w:rPr>
        <w:t>，</w:t>
      </w:r>
      <w:r>
        <w:rPr>
          <w:rFonts w:hint="eastAsia" w:ascii="宋体" w:hAnsi="宋体" w:eastAsia="宋体" w:cs="宋体"/>
          <w:sz w:val="28"/>
          <w:szCs w:val="28"/>
          <w:u w:val="single"/>
          <w:lang w:val="en-US" w:eastAsia="zh-CN"/>
          <w14:ligatures w14:val="none"/>
        </w:rPr>
        <w:t>其中建筑物</w:t>
      </w:r>
      <w:r>
        <w:rPr>
          <w:rFonts w:hint="eastAsia" w:ascii="宋体" w:hAnsi="宋体" w:eastAsia="宋体" w:cs="宋体"/>
          <w:sz w:val="28"/>
          <w:szCs w:val="28"/>
          <w:u w:val="single"/>
          <w14:ligatures w14:val="none"/>
        </w:rPr>
        <w:t>详查面积共计</w:t>
      </w:r>
      <w:r>
        <w:rPr>
          <w:rFonts w:hint="eastAsia" w:ascii="宋体" w:hAnsi="宋体" w:eastAsia="宋体" w:cs="宋体"/>
          <w:sz w:val="28"/>
          <w:szCs w:val="28"/>
          <w:u w:val="single"/>
          <w:lang w:val="en-US" w:eastAsia="zh-CN"/>
          <w14:ligatures w14:val="none"/>
        </w:rPr>
        <w:t>2400.9</w:t>
      </w:r>
      <w:r>
        <w:rPr>
          <w:rFonts w:hint="eastAsia" w:ascii="宋体" w:hAnsi="宋体" w:eastAsia="宋体" w:cs="宋体"/>
          <w:sz w:val="28"/>
          <w:szCs w:val="28"/>
          <w:u w:val="single"/>
          <w14:ligatures w14:val="none"/>
        </w:rPr>
        <w:t>平方米</w:t>
      </w:r>
      <w:r>
        <w:rPr>
          <w:rFonts w:hint="eastAsia" w:ascii="宋体" w:hAnsi="宋体" w:eastAsia="宋体" w:cs="宋体"/>
          <w:sz w:val="28"/>
          <w:szCs w:val="28"/>
          <w:u w:val="single"/>
          <w:lang w:val="en-US" w:eastAsia="zh-CN"/>
          <w14:ligatures w14:val="none"/>
        </w:rPr>
        <w:t>,</w:t>
      </w:r>
      <w:r>
        <w:rPr>
          <w:rFonts w:hint="eastAsia" w:ascii="宋体" w:hAnsi="宋体" w:eastAsia="宋体" w:cs="宋体"/>
          <w:sz w:val="28"/>
          <w:szCs w:val="28"/>
          <w:u w:val="single"/>
          <w14:ligatures w14:val="none"/>
        </w:rPr>
        <w:t>空地面积</w:t>
      </w:r>
      <w:r>
        <w:rPr>
          <w:rFonts w:hint="eastAsia" w:ascii="宋体" w:hAnsi="宋体" w:eastAsia="宋体" w:cs="宋体"/>
          <w:sz w:val="28"/>
          <w:szCs w:val="28"/>
          <w:u w:val="single"/>
          <w:lang w:val="en-US" w:eastAsia="zh-CN"/>
          <w14:ligatures w14:val="none"/>
        </w:rPr>
        <w:t>3022.79</w:t>
      </w:r>
      <w:r>
        <w:rPr>
          <w:rFonts w:hint="eastAsia" w:ascii="宋体" w:hAnsi="宋体" w:eastAsia="宋体" w:cs="宋体"/>
          <w:sz w:val="28"/>
          <w:szCs w:val="28"/>
          <w:u w:val="single"/>
          <w:lang w:eastAsia="zh-CN"/>
          <w14:ligatures w14:val="none"/>
        </w:rPr>
        <w:t>平方米</w:t>
      </w:r>
      <w:r>
        <w:rPr>
          <w:rFonts w:hint="eastAsia" w:ascii="宋体" w:hAnsi="宋体" w:eastAsia="宋体" w:cs="宋体"/>
          <w:sz w:val="28"/>
          <w:szCs w:val="28"/>
          <w:u w:val="single"/>
          <w:lang w:val="en-US" w:eastAsia="zh-CN"/>
          <w14:ligatures w14:val="none"/>
        </w:rPr>
        <w:t>（附测量图）</w:t>
      </w:r>
      <w:r>
        <w:rPr>
          <w:rFonts w:hint="eastAsia" w:ascii="宋体" w:hAnsi="宋体" w:eastAsia="宋体" w:cs="宋体"/>
          <w:sz w:val="28"/>
          <w:szCs w:val="28"/>
          <w14:ligatures w14:val="none"/>
        </w:rPr>
        <w:t>；</w:t>
      </w:r>
    </w:p>
    <w:p w14:paraId="51D2E1EB">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（五）交易资产用途：</w:t>
      </w:r>
      <w:r>
        <w:rPr>
          <w:rFonts w:hint="eastAsia" w:ascii="宋体" w:hAnsi="宋体" w:eastAsia="宋体" w:cs="宋体"/>
          <w:sz w:val="28"/>
          <w:szCs w:val="28"/>
          <w:u w:val="single"/>
          <w:lang w:val="en-US" w:eastAsia="zh-CN"/>
          <w14:ligatures w14:val="none"/>
        </w:rPr>
        <w:t>仅用于工业生产、仓储用途，不得用于收纳储存建筑垃圾、工业垃圾，不得用于废品回收</w:t>
      </w:r>
      <w:r>
        <w:rPr>
          <w:rFonts w:hint="eastAsia" w:ascii="宋体" w:hAnsi="宋体" w:eastAsia="宋体" w:cs="宋体"/>
          <w:sz w:val="28"/>
          <w:szCs w:val="28"/>
          <w:u w:val="single"/>
          <w14:ligatures w14:val="none"/>
        </w:rPr>
        <w:t>，用途必须符合法律法规规定和合同约定，不得私自改变用途</w:t>
      </w:r>
      <w:r>
        <w:rPr>
          <w:rFonts w:hint="eastAsia" w:ascii="宋体" w:hAnsi="宋体" w:eastAsia="宋体" w:cs="宋体"/>
          <w:sz w:val="28"/>
          <w:szCs w:val="28"/>
          <w14:ligatures w14:val="none"/>
        </w:rPr>
        <w:t>。</w:t>
      </w:r>
    </w:p>
    <w:p w14:paraId="2231CDFD">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（六）项目现状：</w:t>
      </w:r>
      <w:r>
        <w:rPr>
          <w:rFonts w:hint="eastAsia" w:ascii="宋体" w:hAnsi="宋体" w:eastAsia="宋体" w:cs="宋体"/>
          <w:sz w:val="28"/>
          <w:szCs w:val="28"/>
          <w:u w:val="single"/>
          <w:lang w:val="en-US" w:eastAsia="zh-CN"/>
          <w14:ligatures w14:val="none"/>
        </w:rPr>
        <w:t>厂房、土地</w:t>
      </w:r>
      <w:r>
        <w:rPr>
          <w:rFonts w:hint="eastAsia" w:ascii="宋体" w:hAnsi="宋体" w:eastAsia="宋体" w:cs="宋体"/>
          <w:sz w:val="28"/>
          <w:szCs w:val="28"/>
          <w:lang w:val="en-US" w:eastAsia="zh-CN"/>
          <w14:ligatures w14:val="none"/>
        </w:rPr>
        <w:t>；</w:t>
      </w:r>
    </w:p>
    <w:p w14:paraId="5EDD823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（七）消防验收情况</w:t>
      </w:r>
      <w:r>
        <w:rPr>
          <w:rFonts w:hint="eastAsia" w:ascii="宋体" w:hAnsi="宋体" w:eastAsia="宋体" w:cs="宋体"/>
          <w:sz w:val="28"/>
          <w:szCs w:val="28"/>
          <w:lang w:eastAsia="zh-CN"/>
          <w14:ligatures w14:val="none"/>
        </w:rPr>
        <w:t>：</w:t>
      </w:r>
      <w:r>
        <w:rPr>
          <w:rFonts w:hint="eastAsia" w:ascii="宋体" w:hAnsi="宋体" w:eastAsia="宋体" w:cs="宋体"/>
          <w:sz w:val="28"/>
          <w:szCs w:val="28"/>
          <w:u w:val="single"/>
          <w:lang w:val="en-US" w:eastAsia="zh-CN"/>
          <w14:ligatures w14:val="none"/>
        </w:rPr>
        <w:t>已验收（详见“安全隐患检查表）</w:t>
      </w:r>
      <w:r>
        <w:rPr>
          <w:rFonts w:hint="eastAsia" w:ascii="宋体" w:hAnsi="宋体" w:eastAsia="宋体" w:cs="宋体"/>
          <w:sz w:val="28"/>
          <w:szCs w:val="28"/>
          <w14:ligatures w14:val="none"/>
        </w:rPr>
        <w:t>；</w:t>
      </w:r>
    </w:p>
    <w:p w14:paraId="72D89C6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（八）合同年限：</w:t>
      </w:r>
      <w:r>
        <w:rPr>
          <w:rFonts w:hint="eastAsia" w:ascii="宋体" w:hAnsi="宋体" w:eastAsia="宋体" w:cs="宋体"/>
          <w:sz w:val="28"/>
          <w:szCs w:val="28"/>
          <w:u w:val="single"/>
          <w:lang w:val="en-US" w:eastAsia="zh-CN"/>
          <w14:ligatures w14:val="none"/>
        </w:rPr>
        <w:t>10</w:t>
      </w:r>
      <w:r>
        <w:rPr>
          <w:rFonts w:hint="eastAsia" w:ascii="宋体" w:hAnsi="宋体" w:eastAsia="宋体" w:cs="宋体"/>
          <w:sz w:val="28"/>
          <w:szCs w:val="28"/>
          <w:u w:val="single"/>
          <w14:ligatures w14:val="none"/>
        </w:rPr>
        <w:t>年 (</w:t>
      </w:r>
      <w:r>
        <w:rPr>
          <w:rFonts w:hint="eastAsia" w:ascii="宋体" w:hAnsi="宋体" w:eastAsia="宋体" w:cs="宋体"/>
          <w:sz w:val="28"/>
          <w:szCs w:val="28"/>
          <w:highlight w:val="none"/>
          <w:u w:val="single"/>
        </w:rPr>
        <w:t>以实际签订合同约定时间为准</w:t>
      </w:r>
      <w:r>
        <w:rPr>
          <w:rFonts w:hint="eastAsia" w:ascii="宋体" w:hAnsi="宋体" w:eastAsia="宋体" w:cs="宋体"/>
          <w:sz w:val="28"/>
          <w:szCs w:val="28"/>
          <w:u w:val="single"/>
          <w14:ligatures w14:val="none"/>
        </w:rPr>
        <w:t>)</w:t>
      </w:r>
      <w:r>
        <w:rPr>
          <w:rFonts w:hint="eastAsia" w:ascii="宋体" w:hAnsi="宋体" w:eastAsia="宋体" w:cs="宋体"/>
          <w:sz w:val="28"/>
          <w:szCs w:val="28"/>
          <w14:ligatures w14:val="none"/>
        </w:rPr>
        <w:t xml:space="preserve">； </w:t>
      </w:r>
    </w:p>
    <w:p w14:paraId="7AF5900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（九）免租期：</w:t>
      </w:r>
      <w:r>
        <w:rPr>
          <w:rFonts w:hint="eastAsia" w:ascii="宋体" w:hAnsi="宋体" w:eastAsia="宋体" w:cs="宋体"/>
          <w:sz w:val="28"/>
          <w:szCs w:val="28"/>
          <w:u w:val="single"/>
          <w:lang w:val="en-US" w:eastAsia="zh-CN"/>
          <w14:ligatures w14:val="none"/>
        </w:rPr>
        <w:t>无</w:t>
      </w:r>
      <w:r>
        <w:rPr>
          <w:rFonts w:hint="eastAsia" w:ascii="宋体" w:hAnsi="宋体" w:eastAsia="宋体" w:cs="宋体"/>
          <w:sz w:val="28"/>
          <w:szCs w:val="28"/>
          <w14:ligatures w14:val="none"/>
        </w:rPr>
        <w:t xml:space="preserve">； </w:t>
      </w:r>
    </w:p>
    <w:p w14:paraId="39A46B8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（十）交易底价：</w:t>
      </w:r>
      <w:r>
        <w:rPr>
          <w:rFonts w:hint="eastAsia" w:ascii="宋体" w:hAnsi="宋体" w:eastAsia="宋体" w:cs="宋体"/>
          <w:sz w:val="28"/>
          <w:szCs w:val="28"/>
          <w:u w:val="single"/>
          <w:lang w:val="en-US" w:eastAsia="zh-CN"/>
          <w14:ligatures w14:val="none"/>
        </w:rPr>
        <w:t>人民币24,800元/月/宗（含税)</w:t>
      </w:r>
      <w:r>
        <w:rPr>
          <w:rFonts w:hint="eastAsia" w:ascii="宋体" w:hAnsi="宋体" w:eastAsia="宋体" w:cs="宋体"/>
          <w:sz w:val="28"/>
          <w:szCs w:val="28"/>
          <w14:ligatures w14:val="none"/>
        </w:rPr>
        <w:t>。</w:t>
      </w:r>
    </w:p>
    <w:p w14:paraId="73BE49B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（十一）租金支付方式：</w:t>
      </w:r>
      <w:r>
        <w:rPr>
          <w:rFonts w:hint="eastAsia" w:ascii="宋体" w:hAnsi="宋体" w:eastAsia="宋体" w:cs="宋体"/>
          <w:sz w:val="28"/>
          <w:szCs w:val="28"/>
          <w:u w:val="single"/>
          <w14:ligatures w14:val="none"/>
        </w:rPr>
        <w:t>（详见《租赁合同》）</w:t>
      </w:r>
    </w:p>
    <w:p w14:paraId="2248304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1.</w:t>
      </w:r>
      <w:r>
        <w:rPr>
          <w:rFonts w:hint="eastAsia" w:ascii="宋体" w:hAnsi="宋体" w:eastAsia="宋体" w:cs="宋体"/>
          <w:sz w:val="28"/>
          <w:szCs w:val="28"/>
          <w14:ligatures w14:val="none"/>
        </w:rPr>
        <w:t>租金支付方式采用分期付款方式</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签订合同当日缴纳第一期租金，之后每月5日前缴纳下期租金</w:t>
      </w:r>
      <w:r>
        <w:rPr>
          <w:rFonts w:hint="eastAsia" w:ascii="宋体" w:hAnsi="宋体" w:eastAsia="宋体" w:cs="宋体"/>
          <w:sz w:val="28"/>
          <w:szCs w:val="28"/>
          <w14:ligatures w14:val="none"/>
        </w:rPr>
        <w:t>。</w:t>
      </w:r>
    </w:p>
    <w:p w14:paraId="73627E1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2</w:t>
      </w:r>
      <w:r>
        <w:rPr>
          <w:rFonts w:hint="eastAsia" w:ascii="宋体" w:hAnsi="宋体" w:eastAsia="宋体" w:cs="宋体"/>
          <w:sz w:val="28"/>
          <w:szCs w:val="28"/>
          <w14:ligatures w14:val="none"/>
        </w:rPr>
        <w:t>.租金交纳账户信息：</w:t>
      </w:r>
    </w:p>
    <w:p w14:paraId="772F2A1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账户名称：</w:t>
      </w:r>
      <w:r>
        <w:rPr>
          <w:rFonts w:hint="eastAsia" w:ascii="宋体" w:hAnsi="宋体" w:eastAsia="宋体" w:cs="宋体"/>
          <w:sz w:val="28"/>
          <w:szCs w:val="28"/>
          <w:u w:val="single"/>
          <w14:ligatures w14:val="none"/>
        </w:rPr>
        <w:t>广东省广州市南沙区东涌镇石基股份合作经济联合社</w:t>
      </w:r>
    </w:p>
    <w:p w14:paraId="491058C0">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开户行：</w:t>
      </w:r>
      <w:r>
        <w:rPr>
          <w:rFonts w:hint="eastAsia" w:ascii="宋体" w:hAnsi="宋体" w:eastAsia="宋体" w:cs="宋体"/>
          <w:sz w:val="28"/>
          <w:szCs w:val="28"/>
          <w:u w:val="single"/>
          <w:lang w:val="en-US" w:eastAsia="zh-CN"/>
          <w14:ligatures w14:val="none"/>
        </w:rPr>
        <w:t>广州农村商业银行股份有限公司太石支行</w:t>
      </w:r>
    </w:p>
    <w:p w14:paraId="7924EEA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账号：</w:t>
      </w:r>
      <w:r>
        <w:rPr>
          <w:rFonts w:hint="eastAsia" w:ascii="宋体" w:hAnsi="宋体" w:eastAsia="宋体" w:cs="宋体"/>
          <w:sz w:val="28"/>
          <w:szCs w:val="28"/>
          <w:u w:val="single"/>
          <w14:ligatures w14:val="none"/>
        </w:rPr>
        <w:t>965404001000000121</w:t>
      </w:r>
    </w:p>
    <w:p w14:paraId="60EA987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十二）</w:t>
      </w:r>
      <w:r>
        <w:rPr>
          <w:rFonts w:hint="eastAsia" w:ascii="宋体" w:hAnsi="宋体" w:eastAsia="宋体" w:cs="宋体"/>
          <w:sz w:val="28"/>
          <w:szCs w:val="28"/>
          <w14:ligatures w14:val="none"/>
        </w:rPr>
        <w:t>租金递增方式：每</w:t>
      </w:r>
      <w:r>
        <w:rPr>
          <w:rFonts w:hint="eastAsia" w:ascii="宋体" w:hAnsi="宋体" w:eastAsia="宋体" w:cs="宋体"/>
          <w:sz w:val="28"/>
          <w:szCs w:val="28"/>
          <w:lang w:val="en-US" w:eastAsia="zh-CN"/>
          <w14:ligatures w14:val="none"/>
        </w:rPr>
        <w:t>1个</w:t>
      </w:r>
      <w:r>
        <w:rPr>
          <w:rFonts w:hint="eastAsia" w:ascii="宋体" w:hAnsi="宋体" w:eastAsia="宋体" w:cs="宋体"/>
          <w:sz w:val="28"/>
          <w:szCs w:val="28"/>
          <w14:ligatures w14:val="none"/>
        </w:rPr>
        <w:t>月为一个支付周期，租金从第</w:t>
      </w:r>
      <w:r>
        <w:rPr>
          <w:rFonts w:hint="eastAsia" w:ascii="宋体" w:hAnsi="宋体" w:eastAsia="宋体" w:cs="宋体"/>
          <w:sz w:val="28"/>
          <w:szCs w:val="28"/>
          <w:lang w:val="en-US" w:eastAsia="zh-CN"/>
          <w14:ligatures w14:val="none"/>
        </w:rPr>
        <w:t>4</w:t>
      </w:r>
      <w:r>
        <w:rPr>
          <w:rFonts w:hint="eastAsia" w:ascii="宋体" w:hAnsi="宋体" w:eastAsia="宋体" w:cs="宋体"/>
          <w:sz w:val="28"/>
          <w:szCs w:val="28"/>
          <w14:ligatures w14:val="none"/>
        </w:rPr>
        <w:t>年</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即第37个支付周期</w:t>
      </w:r>
      <w:r>
        <w:rPr>
          <w:rFonts w:hint="eastAsia" w:ascii="宋体" w:hAnsi="宋体" w:eastAsia="宋体" w:cs="宋体"/>
          <w:sz w:val="28"/>
          <w:szCs w:val="28"/>
          <w:lang w:eastAsia="zh-CN"/>
          <w14:ligatures w14:val="none"/>
        </w:rPr>
        <w:t>）</w:t>
      </w:r>
      <w:r>
        <w:rPr>
          <w:rFonts w:hint="eastAsia" w:ascii="宋体" w:hAnsi="宋体" w:eastAsia="宋体" w:cs="宋体"/>
          <w:sz w:val="28"/>
          <w:szCs w:val="28"/>
          <w14:ligatures w14:val="none"/>
        </w:rPr>
        <w:t>开始递增</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每3年在上年基础上递增8%；</w:t>
      </w:r>
    </w:p>
    <w:p w14:paraId="207C6259">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（十三）交易保证金：</w:t>
      </w:r>
      <w:r>
        <w:rPr>
          <w:rFonts w:hint="eastAsia" w:ascii="宋体" w:hAnsi="宋体" w:eastAsia="宋体" w:cs="宋体"/>
          <w:sz w:val="28"/>
          <w:szCs w:val="28"/>
          <w:u w:val="single"/>
          <w14:ligatures w14:val="none"/>
        </w:rPr>
        <w:t xml:space="preserve">¥ </w:t>
      </w:r>
      <w:r>
        <w:rPr>
          <w:rFonts w:hint="eastAsia" w:ascii="宋体" w:hAnsi="宋体" w:eastAsia="宋体" w:cs="宋体"/>
          <w:sz w:val="28"/>
          <w:szCs w:val="28"/>
          <w:u w:val="single"/>
          <w:lang w:val="en-US" w:eastAsia="zh-CN"/>
          <w14:ligatures w14:val="none"/>
        </w:rPr>
        <w:t>500,000元（大写：人民币伍拾万元整）</w:t>
      </w:r>
      <w:r>
        <w:rPr>
          <w:rFonts w:hint="eastAsia" w:ascii="宋体" w:hAnsi="宋体" w:eastAsia="宋体" w:cs="宋体"/>
          <w:sz w:val="28"/>
          <w:szCs w:val="28"/>
          <w14:ligatures w14:val="none"/>
        </w:rPr>
        <w:t>；</w:t>
      </w:r>
    </w:p>
    <w:p w14:paraId="5ED5A18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（十四）合同履约保证金：</w:t>
      </w:r>
      <w:r>
        <w:rPr>
          <w:rFonts w:hint="eastAsia" w:ascii="宋体" w:hAnsi="宋体" w:eastAsia="宋体" w:cs="宋体"/>
          <w:sz w:val="28"/>
          <w:szCs w:val="28"/>
          <w:u w:val="single"/>
          <w14:ligatures w14:val="none"/>
        </w:rPr>
        <w:t>¥</w:t>
      </w:r>
      <w:r>
        <w:rPr>
          <w:rFonts w:hint="eastAsia" w:ascii="宋体" w:hAnsi="宋体" w:eastAsia="宋体" w:cs="宋体"/>
          <w:sz w:val="28"/>
          <w:szCs w:val="28"/>
          <w:u w:val="single"/>
          <w:lang w:val="en-US" w:eastAsia="zh-CN"/>
          <w14:ligatures w14:val="none"/>
        </w:rPr>
        <w:t>150,000</w:t>
      </w:r>
      <w:r>
        <w:rPr>
          <w:rFonts w:hint="eastAsia" w:ascii="宋体" w:hAnsi="宋体" w:eastAsia="宋体" w:cs="宋体"/>
          <w:sz w:val="28"/>
          <w:szCs w:val="28"/>
          <w:u w:val="single"/>
          <w14:ligatures w14:val="none"/>
        </w:rPr>
        <w:t>元（大写：</w:t>
      </w:r>
      <w:r>
        <w:rPr>
          <w:rFonts w:hint="eastAsia" w:ascii="宋体" w:hAnsi="宋体" w:eastAsia="宋体" w:cs="宋体"/>
          <w:sz w:val="28"/>
          <w:szCs w:val="28"/>
          <w:u w:val="single"/>
          <w:lang w:val="en-US" w:eastAsia="zh-CN"/>
          <w14:ligatures w14:val="none"/>
        </w:rPr>
        <w:t>人民币壹拾伍万</w:t>
      </w:r>
      <w:r>
        <w:rPr>
          <w:rFonts w:hint="eastAsia" w:ascii="宋体" w:hAnsi="宋体" w:eastAsia="宋体" w:cs="宋体"/>
          <w:sz w:val="28"/>
          <w:szCs w:val="28"/>
          <w:u w:val="single"/>
          <w14:ligatures w14:val="none"/>
        </w:rPr>
        <w:t>元</w:t>
      </w:r>
      <w:r>
        <w:rPr>
          <w:rFonts w:hint="eastAsia" w:ascii="宋体" w:hAnsi="宋体" w:eastAsia="宋体" w:cs="宋体"/>
          <w:sz w:val="28"/>
          <w:szCs w:val="28"/>
          <w:u w:val="single"/>
          <w:lang w:val="en-US" w:eastAsia="zh-CN"/>
          <w14:ligatures w14:val="none"/>
        </w:rPr>
        <w:t>整</w:t>
      </w:r>
      <w:r>
        <w:rPr>
          <w:rFonts w:hint="eastAsia" w:ascii="宋体" w:hAnsi="宋体" w:eastAsia="宋体" w:cs="宋体"/>
          <w:sz w:val="28"/>
          <w:szCs w:val="28"/>
          <w:u w:val="single"/>
          <w14:ligatures w14:val="none"/>
        </w:rPr>
        <w:t>）</w:t>
      </w:r>
      <w:r>
        <w:rPr>
          <w:rFonts w:hint="eastAsia" w:ascii="宋体" w:hAnsi="宋体" w:eastAsia="宋体" w:cs="宋体"/>
          <w:sz w:val="28"/>
          <w:szCs w:val="28"/>
          <w:lang w:eastAsia="zh-CN"/>
          <w14:ligatures w14:val="none"/>
        </w:rPr>
        <w:t>；</w:t>
      </w:r>
      <w:r>
        <w:rPr>
          <w:rFonts w:hint="eastAsia" w:ascii="宋体" w:hAnsi="宋体" w:eastAsia="宋体" w:cs="宋体"/>
          <w:sz w:val="28"/>
          <w:szCs w:val="28"/>
          <w14:ligatures w14:val="none"/>
        </w:rPr>
        <w:t>受让（承租）方按约定签署《成交确认书》后3个工作日内，由</w:t>
      </w:r>
      <w:r>
        <w:rPr>
          <w:rFonts w:hint="eastAsia" w:ascii="宋体" w:hAnsi="宋体" w:eastAsia="宋体" w:cs="宋体"/>
          <w:sz w:val="28"/>
          <w:szCs w:val="28"/>
          <w:lang w:val="en-US" w:eastAsia="zh-CN"/>
          <w14:ligatures w14:val="none"/>
        </w:rPr>
        <w:t>出租方向</w:t>
      </w:r>
      <w:r>
        <w:rPr>
          <w:rFonts w:hint="eastAsia" w:ascii="宋体" w:hAnsi="宋体" w:eastAsia="宋体" w:cs="宋体"/>
          <w:sz w:val="28"/>
          <w:szCs w:val="28"/>
          <w14:ligatures w14:val="none"/>
        </w:rPr>
        <w:t>广州农交所</w:t>
      </w:r>
      <w:r>
        <w:rPr>
          <w:rFonts w:hint="eastAsia" w:ascii="宋体" w:hAnsi="宋体" w:eastAsia="宋体" w:cs="宋体"/>
          <w:sz w:val="28"/>
          <w:szCs w:val="28"/>
          <w:lang w:val="en-US" w:eastAsia="zh-CN"/>
          <w14:ligatures w14:val="none"/>
        </w:rPr>
        <w:t>支付</w:t>
      </w:r>
      <w:r>
        <w:rPr>
          <w:rFonts w:hint="eastAsia" w:ascii="宋体" w:hAnsi="宋体" w:eastAsia="宋体" w:cs="宋体"/>
          <w:sz w:val="28"/>
          <w:szCs w:val="28"/>
          <w14:ligatures w14:val="none"/>
        </w:rPr>
        <w:t>交易服务费</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交易保证金</w:t>
      </w:r>
      <w:r>
        <w:rPr>
          <w:rFonts w:hint="eastAsia" w:ascii="宋体" w:hAnsi="宋体" w:eastAsia="宋体" w:cs="宋体"/>
          <w:sz w:val="28"/>
          <w:szCs w:val="28"/>
          <w14:ligatures w14:val="none"/>
        </w:rPr>
        <w:t>自动转为合同押金</w:t>
      </w:r>
      <w:r>
        <w:rPr>
          <w:rFonts w:hint="eastAsia" w:ascii="宋体" w:hAnsi="宋体" w:eastAsia="宋体" w:cs="宋体"/>
          <w:sz w:val="28"/>
          <w:szCs w:val="28"/>
          <w:lang w:val="en-US" w:eastAsia="zh-CN"/>
          <w14:ligatures w14:val="none"/>
        </w:rPr>
        <w:t>转到出租方账户</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剩余部分原路退回</w:t>
      </w:r>
      <w:r>
        <w:rPr>
          <w:rFonts w:hint="eastAsia" w:ascii="宋体" w:hAnsi="宋体" w:eastAsia="宋体" w:cs="宋体"/>
          <w:sz w:val="28"/>
          <w:szCs w:val="28"/>
          <w14:ligatures w14:val="none"/>
        </w:rPr>
        <w:t>受让（承租）方。</w:t>
      </w:r>
    </w:p>
    <w:p w14:paraId="0017F49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（十五）交易方式：</w:t>
      </w:r>
    </w:p>
    <w:p w14:paraId="73E0061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1.仅征集到1家符合资格且缴纳交易保证金的意向方，交易方式选择协议交易，协议交易方式为：交易双方以挂牌价格作为成交价格签订交易合同。 </w:t>
      </w:r>
    </w:p>
    <w:p w14:paraId="2DA5DF6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2.如征集到符合资格且缴纳交易保证金的意向方为 2 家或以上的，选择以下交易方式：网络竞价。</w:t>
      </w:r>
    </w:p>
    <w:p w14:paraId="4312ACCD">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竞价开始时间：</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27</w:t>
      </w:r>
      <w:r>
        <w:rPr>
          <w:rFonts w:hint="eastAsia" w:ascii="宋体" w:hAnsi="宋体" w:eastAsia="宋体" w:cs="宋体"/>
          <w:sz w:val="28"/>
          <w:szCs w:val="28"/>
          <w14:ligatures w14:val="none"/>
        </w:rPr>
        <w:t>日</w:t>
      </w:r>
      <w:r>
        <w:rPr>
          <w:rFonts w:hint="eastAsia" w:ascii="宋体" w:hAnsi="宋体" w:eastAsia="宋体" w:cs="宋体"/>
          <w:sz w:val="28"/>
          <w:szCs w:val="28"/>
          <w:lang w:val="en-US" w:eastAsia="zh-CN"/>
          <w14:ligatures w14:val="none"/>
        </w:rPr>
        <w:t>10</w:t>
      </w:r>
      <w:r>
        <w:rPr>
          <w:rFonts w:hint="eastAsia" w:ascii="宋体" w:hAnsi="宋体" w:eastAsia="宋体" w:cs="宋体"/>
          <w:sz w:val="28"/>
          <w:szCs w:val="28"/>
          <w14:ligatures w14:val="none"/>
        </w:rPr>
        <w:t>时。</w:t>
      </w:r>
    </w:p>
    <w:p w14:paraId="350A18C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（1）自由报价阶段：</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27</w:t>
      </w:r>
      <w:r>
        <w:rPr>
          <w:rFonts w:hint="eastAsia" w:ascii="宋体" w:hAnsi="宋体" w:eastAsia="宋体" w:cs="宋体"/>
          <w:sz w:val="28"/>
          <w:szCs w:val="28"/>
          <w14:ligatures w14:val="none"/>
        </w:rPr>
        <w:t>日</w:t>
      </w:r>
      <w:r>
        <w:rPr>
          <w:rFonts w:hint="eastAsia" w:ascii="宋体" w:hAnsi="宋体" w:eastAsia="宋体" w:cs="宋体"/>
          <w:sz w:val="28"/>
          <w:szCs w:val="28"/>
          <w:lang w:val="en-US" w:eastAsia="zh-CN"/>
          <w14:ligatures w14:val="none"/>
        </w:rPr>
        <w:t>10</w:t>
      </w:r>
      <w:r>
        <w:rPr>
          <w:rFonts w:hint="eastAsia" w:ascii="宋体" w:hAnsi="宋体" w:eastAsia="宋体" w:cs="宋体"/>
          <w:sz w:val="28"/>
          <w:szCs w:val="28"/>
          <w14:ligatures w14:val="none"/>
        </w:rPr>
        <w:t>时00分至</w:t>
      </w:r>
      <w:r>
        <w:rPr>
          <w:rFonts w:hint="eastAsia" w:ascii="宋体" w:hAnsi="宋体" w:eastAsia="宋体" w:cs="宋体"/>
          <w:sz w:val="28"/>
          <w:szCs w:val="28"/>
          <w:lang w:val="en-US" w:eastAsia="zh-CN"/>
          <w14:ligatures w14:val="none"/>
        </w:rPr>
        <w:t>10</w:t>
      </w:r>
      <w:r>
        <w:rPr>
          <w:rFonts w:hint="eastAsia" w:ascii="宋体" w:hAnsi="宋体" w:eastAsia="宋体" w:cs="宋体"/>
          <w:sz w:val="28"/>
          <w:szCs w:val="28"/>
          <w14:ligatures w14:val="none"/>
        </w:rPr>
        <w:t>时</w:t>
      </w:r>
      <w:r>
        <w:rPr>
          <w:rFonts w:hint="eastAsia" w:ascii="宋体" w:hAnsi="宋体" w:eastAsia="宋体" w:cs="宋体"/>
          <w:sz w:val="28"/>
          <w:szCs w:val="28"/>
          <w:lang w:val="en-US" w:eastAsia="zh-CN"/>
          <w14:ligatures w14:val="none"/>
        </w:rPr>
        <w:t>05</w:t>
      </w:r>
      <w:r>
        <w:rPr>
          <w:rFonts w:hint="eastAsia" w:ascii="宋体" w:hAnsi="宋体" w:eastAsia="宋体" w:cs="宋体"/>
          <w:sz w:val="28"/>
          <w:szCs w:val="28"/>
          <w14:ligatures w14:val="none"/>
        </w:rPr>
        <w:t>分。</w:t>
      </w:r>
    </w:p>
    <w:p w14:paraId="5F64C78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（2）限时报价阶段：每次限时周期为</w:t>
      </w:r>
      <w:r>
        <w:rPr>
          <w:rFonts w:hint="eastAsia" w:ascii="宋体" w:hAnsi="宋体" w:eastAsia="宋体" w:cs="宋体"/>
          <w:sz w:val="28"/>
          <w:szCs w:val="28"/>
          <w:lang w:val="en-US" w:eastAsia="zh-CN"/>
          <w14:ligatures w14:val="none"/>
        </w:rPr>
        <w:t>2</w:t>
      </w:r>
      <w:r>
        <w:rPr>
          <w:rFonts w:hint="eastAsia" w:ascii="宋体" w:hAnsi="宋体" w:eastAsia="宋体" w:cs="宋体"/>
          <w:sz w:val="28"/>
          <w:szCs w:val="28"/>
          <w14:ligatures w14:val="none"/>
        </w:rPr>
        <w:t>分钟，首次限时周期从自由竞价时段结束起计算。若限时周期内无人再报价的，则当前报价即为最高报价。若在预定的限时周期内有竞价人继续报价，则此新报价为当前有效报价，系统将重新进入</w:t>
      </w:r>
      <w:r>
        <w:rPr>
          <w:rFonts w:hint="eastAsia" w:ascii="宋体" w:hAnsi="宋体" w:eastAsia="宋体" w:cs="宋体"/>
          <w:sz w:val="28"/>
          <w:szCs w:val="28"/>
          <w:lang w:val="en-US" w:eastAsia="zh-CN"/>
          <w14:ligatures w14:val="none"/>
        </w:rPr>
        <w:t>120</w:t>
      </w:r>
      <w:r>
        <w:rPr>
          <w:rFonts w:hint="eastAsia" w:ascii="宋体" w:hAnsi="宋体" w:eastAsia="宋体" w:cs="宋体"/>
          <w:sz w:val="28"/>
          <w:szCs w:val="28"/>
          <w14:ligatures w14:val="none"/>
        </w:rPr>
        <w:t>秒限时周期。如此循环，直至没有新的有效报价，此时的最高报价被确认为最高报价。</w:t>
      </w:r>
    </w:p>
    <w:p w14:paraId="3FF3A49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（十六）竞得方式：按照不低于底价，价高者得原则确定受让方</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每次报价递增</w:t>
      </w:r>
      <w:r>
        <w:rPr>
          <w:rFonts w:hint="eastAsia" w:ascii="宋体" w:hAnsi="宋体" w:eastAsia="宋体" w:cs="宋体"/>
          <w:sz w:val="28"/>
          <w:szCs w:val="28"/>
          <w:u w:val="single"/>
          <w:lang w:val="en-US" w:eastAsia="zh-CN"/>
          <w14:ligatures w14:val="none"/>
        </w:rPr>
        <w:t>¥ 1,000 元/月/宗</w:t>
      </w:r>
      <w:r>
        <w:rPr>
          <w:rFonts w:hint="eastAsia" w:ascii="宋体" w:hAnsi="宋体" w:eastAsia="宋体" w:cs="宋体"/>
          <w:sz w:val="28"/>
          <w:szCs w:val="28"/>
          <w:lang w:val="en-US" w:eastAsia="zh-CN"/>
          <w14:ligatures w14:val="none"/>
        </w:rPr>
        <w:t>或其整数倍</w:t>
      </w:r>
      <w:r>
        <w:rPr>
          <w:rFonts w:hint="eastAsia" w:ascii="宋体" w:hAnsi="宋体" w:eastAsia="宋体" w:cs="宋体"/>
          <w:sz w:val="28"/>
          <w:szCs w:val="28"/>
          <w14:ligatures w14:val="none"/>
        </w:rPr>
        <w:t>；</w:t>
      </w:r>
    </w:p>
    <w:p w14:paraId="00FDD3E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（十七）交易规则：具体详见《广州农村产权交易所有限公司交易项目网络多次报价实施办法》； </w:t>
      </w:r>
    </w:p>
    <w:p w14:paraId="24B619DC">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（十八）竞价地点：</w:t>
      </w:r>
      <w:r>
        <w:rPr>
          <w:rFonts w:hint="eastAsia" w:ascii="宋体" w:hAnsi="宋体" w:eastAsia="宋体" w:cs="宋体"/>
          <w:sz w:val="28"/>
          <w:szCs w:val="28"/>
          <w:u w:val="single"/>
          <w14:ligatures w14:val="none"/>
        </w:rPr>
        <w:t>线上交易</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网址：</w:t>
      </w:r>
      <w:r>
        <w:rPr>
          <w:rFonts w:hint="eastAsia" w:ascii="宋体" w:hAnsi="宋体" w:eastAsia="宋体" w:cs="宋体"/>
          <w:sz w:val="28"/>
          <w:szCs w:val="28"/>
          <w:u w:val="single"/>
          <w:lang w:val="en-US" w:eastAsia="zh-CN"/>
          <w14:ligatures w14:val="none"/>
        </w:rPr>
        <w:t>https://www.gzaee.cn/gzcqjy/member/login.do；</w:t>
      </w:r>
    </w:p>
    <w:p w14:paraId="790ACC76">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（十九）项目交付方式：按合同起始日现状交付；</w:t>
      </w:r>
    </w:p>
    <w:p w14:paraId="368A9C7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（二十）其他说明：</w:t>
      </w:r>
    </w:p>
    <w:p w14:paraId="5508A828">
      <w:pPr>
        <w:widowControl/>
        <w:spacing w:line="520" w:lineRule="exact"/>
        <w:ind w:firstLine="560" w:firstLineChars="200"/>
        <w:jc w:val="left"/>
        <w:rPr>
          <w:rFonts w:hint="eastAsia" w:ascii="宋体" w:hAnsi="宋体" w:eastAsia="宋体" w:cs="宋体"/>
          <w:sz w:val="28"/>
          <w:szCs w:val="28"/>
          <w:lang w:val="en-US" w:eastAsia="zh-CN"/>
          <w14:ligatures w14:val="none"/>
        </w:rPr>
      </w:pPr>
      <w:bookmarkStart w:id="4" w:name="OLE_LINK14"/>
      <w:r>
        <w:rPr>
          <w:rFonts w:hint="eastAsia" w:ascii="宋体" w:hAnsi="宋体" w:eastAsia="宋体" w:cs="宋体"/>
          <w:sz w:val="28"/>
          <w:szCs w:val="28"/>
          <w:lang w:val="en-US" w:eastAsia="zh-CN"/>
          <w14:ligatures w14:val="none"/>
        </w:rPr>
        <w:t xml:space="preserve"> 1、</w:t>
      </w:r>
      <w:r>
        <w:rPr>
          <w:rFonts w:hint="eastAsia" w:ascii="宋体" w:hAnsi="宋体" w:eastAsia="宋体" w:cs="宋体"/>
          <w:sz w:val="28"/>
          <w:szCs w:val="28"/>
          <w14:ligatures w14:val="none"/>
        </w:rPr>
        <w:t>新承租方</w:t>
      </w:r>
      <w:r>
        <w:rPr>
          <w:rFonts w:hint="eastAsia" w:ascii="宋体" w:hAnsi="宋体" w:eastAsia="宋体" w:cs="宋体"/>
          <w:sz w:val="28"/>
          <w:szCs w:val="28"/>
          <w:lang w:val="en-US" w:eastAsia="zh-CN"/>
          <w14:ligatures w14:val="none"/>
        </w:rPr>
        <w:t>需在签订合同后2个工作日内向出租方（广东省</w:t>
      </w:r>
      <w:r>
        <w:rPr>
          <w:rFonts w:hint="eastAsia" w:ascii="宋体" w:hAnsi="宋体" w:eastAsia="宋体" w:cs="宋体"/>
          <w:sz w:val="28"/>
          <w:szCs w:val="28"/>
          <w14:ligatures w14:val="none"/>
        </w:rPr>
        <w:t>广州市南沙区东涌镇</w:t>
      </w:r>
      <w:r>
        <w:rPr>
          <w:rFonts w:hint="eastAsia" w:ascii="宋体" w:hAnsi="宋体" w:eastAsia="宋体" w:cs="宋体"/>
          <w:sz w:val="28"/>
          <w:szCs w:val="28"/>
          <w:lang w:val="en-US" w:eastAsia="zh-CN"/>
          <w14:ligatures w14:val="none"/>
        </w:rPr>
        <w:t>石基</w:t>
      </w:r>
      <w:r>
        <w:rPr>
          <w:rFonts w:hint="eastAsia" w:ascii="宋体" w:hAnsi="宋体" w:eastAsia="宋体" w:cs="宋体"/>
          <w:sz w:val="28"/>
          <w:szCs w:val="28"/>
          <w14:ligatures w14:val="none"/>
        </w:rPr>
        <w:t>股份合作经济联合社</w:t>
      </w:r>
      <w:r>
        <w:rPr>
          <w:rFonts w:hint="eastAsia" w:ascii="宋体" w:hAnsi="宋体" w:eastAsia="宋体" w:cs="宋体"/>
          <w:sz w:val="28"/>
          <w:szCs w:val="28"/>
          <w:lang w:val="en-US" w:eastAsia="zh-CN"/>
          <w14:ligatures w14:val="none"/>
        </w:rPr>
        <w:t xml:space="preserve">）缴纳在《建（构）物重置成本价值（现有价值）评估报告书》中列明的重置成本价值的50%作为“前期投入费用”即金额 </w:t>
      </w:r>
      <w:bookmarkStart w:id="5" w:name="OLE_LINK2"/>
      <w:r>
        <w:rPr>
          <w:rFonts w:hint="eastAsia" w:ascii="宋体" w:hAnsi="宋体" w:eastAsia="宋体" w:cs="宋体"/>
          <w:sz w:val="28"/>
          <w:szCs w:val="28"/>
          <w:lang w:val="en-US" w:eastAsia="zh-CN"/>
          <w14:ligatures w14:val="none"/>
        </w:rPr>
        <w:t>¥1,312,004.50</w:t>
      </w:r>
      <w:bookmarkEnd w:id="5"/>
      <w:r>
        <w:rPr>
          <w:rFonts w:hint="eastAsia" w:ascii="宋体" w:hAnsi="宋体" w:eastAsia="宋体" w:cs="宋体"/>
          <w:sz w:val="28"/>
          <w:szCs w:val="28"/>
          <w:lang w:val="en-US" w:eastAsia="zh-CN"/>
          <w14:ligatures w14:val="none"/>
        </w:rPr>
        <w:t>元（人民币大写：壹佰叁拾壹万贰仟零肆元伍角整）。</w:t>
      </w:r>
      <w:r>
        <w:rPr>
          <w:rFonts w:hint="eastAsia" w:ascii="宋体" w:hAnsi="宋体" w:eastAsia="宋体" w:cs="宋体"/>
          <w:sz w:val="28"/>
          <w:szCs w:val="28"/>
          <w14:ligatures w14:val="none"/>
        </w:rPr>
        <w:t>新承租方</w:t>
      </w:r>
      <w:r>
        <w:rPr>
          <w:rFonts w:hint="eastAsia" w:ascii="宋体" w:hAnsi="宋体" w:eastAsia="宋体" w:cs="宋体"/>
          <w:sz w:val="28"/>
          <w:szCs w:val="28"/>
          <w:lang w:val="en-US" w:eastAsia="zh-CN"/>
          <w14:ligatures w14:val="none"/>
        </w:rPr>
        <w:t>如未能在约定期限内向出租方缴纳“前期投入费用”则视为</w:t>
      </w:r>
      <w:r>
        <w:rPr>
          <w:rFonts w:hint="eastAsia" w:ascii="宋体" w:hAnsi="宋体" w:eastAsia="宋体" w:cs="宋体"/>
          <w:sz w:val="28"/>
          <w:szCs w:val="28"/>
          <w14:ligatures w14:val="none"/>
        </w:rPr>
        <w:t>放弃本次交易，出租方有权终止合同且新承租方所缴纳的</w:t>
      </w:r>
      <w:r>
        <w:rPr>
          <w:rFonts w:hint="eastAsia" w:ascii="宋体" w:hAnsi="宋体" w:eastAsia="宋体" w:cs="宋体"/>
          <w:sz w:val="28"/>
          <w:szCs w:val="28"/>
          <w:lang w:val="en-US" w:eastAsia="zh-CN"/>
          <w14:ligatures w14:val="none"/>
        </w:rPr>
        <w:t>合同履约</w:t>
      </w:r>
      <w:r>
        <w:rPr>
          <w:rFonts w:hint="eastAsia" w:ascii="宋体" w:hAnsi="宋体" w:eastAsia="宋体" w:cs="宋体"/>
          <w:sz w:val="28"/>
          <w:szCs w:val="28"/>
          <w14:ligatures w14:val="none"/>
        </w:rPr>
        <w:t>保证金将作为独立补偿不予退回</w:t>
      </w:r>
      <w:r>
        <w:rPr>
          <w:rFonts w:hint="eastAsia" w:ascii="宋体" w:hAnsi="宋体" w:eastAsia="宋体" w:cs="宋体"/>
          <w:sz w:val="28"/>
          <w:szCs w:val="28"/>
          <w:lang w:val="en-US" w:eastAsia="zh-CN"/>
          <w14:ligatures w14:val="none"/>
        </w:rPr>
        <w:t>。</w:t>
      </w:r>
      <w:r>
        <w:rPr>
          <w:rFonts w:hint="eastAsia" w:ascii="宋体" w:hAnsi="宋体" w:eastAsia="宋体" w:cs="宋体"/>
          <w:sz w:val="28"/>
          <w:szCs w:val="28"/>
          <w14:ligatures w14:val="none"/>
        </w:rPr>
        <w:t>新承租方确认并同意新承租方</w:t>
      </w:r>
      <w:r>
        <w:rPr>
          <w:rFonts w:hint="eastAsia" w:ascii="宋体" w:hAnsi="宋体" w:eastAsia="宋体" w:cs="宋体"/>
          <w:sz w:val="28"/>
          <w:szCs w:val="28"/>
          <w:lang w:val="en-US" w:eastAsia="zh-CN"/>
          <w14:ligatures w14:val="none"/>
        </w:rPr>
        <w:t>缴纳的“前期投入费用” 作为</w:t>
      </w:r>
      <w:r>
        <w:rPr>
          <w:rFonts w:hint="eastAsia" w:ascii="宋体" w:hAnsi="宋体" w:eastAsia="宋体" w:cs="宋体"/>
          <w:sz w:val="28"/>
          <w:szCs w:val="28"/>
          <w14:ligatures w14:val="none"/>
        </w:rPr>
        <w:t>新承租方</w:t>
      </w:r>
      <w:r>
        <w:rPr>
          <w:rFonts w:hint="eastAsia" w:ascii="宋体" w:hAnsi="宋体" w:eastAsia="宋体" w:cs="宋体"/>
          <w:sz w:val="28"/>
          <w:szCs w:val="28"/>
          <w:lang w:val="en-US" w:eastAsia="zh-CN"/>
          <w14:ligatures w14:val="none"/>
        </w:rPr>
        <w:t>获得本项目标的的必要费用之一，</w:t>
      </w:r>
      <w:r>
        <w:rPr>
          <w:rFonts w:hint="eastAsia" w:ascii="宋体" w:hAnsi="宋体" w:eastAsia="宋体" w:cs="宋体"/>
          <w:sz w:val="28"/>
          <w:szCs w:val="28"/>
          <w14:ligatures w14:val="none"/>
        </w:rPr>
        <w:t>支付该费用并不取得场地上现状建筑物、构筑物、附着物等所有权，该费用</w:t>
      </w:r>
      <w:r>
        <w:rPr>
          <w:rFonts w:hint="eastAsia" w:ascii="宋体" w:hAnsi="宋体" w:eastAsia="宋体" w:cs="宋体"/>
          <w:sz w:val="28"/>
          <w:szCs w:val="28"/>
          <w:lang w:val="en-US" w:eastAsia="zh-CN"/>
          <w14:ligatures w14:val="none"/>
        </w:rPr>
        <w:t>由出租方处置不作退回，即不因</w:t>
      </w:r>
      <w:r>
        <w:rPr>
          <w:rFonts w:hint="eastAsia" w:ascii="宋体" w:hAnsi="宋体" w:eastAsia="宋体" w:cs="宋体"/>
          <w:sz w:val="28"/>
          <w:szCs w:val="28"/>
          <w14:ligatures w14:val="none"/>
        </w:rPr>
        <w:t>国家、政府征收征用、本合同解除、终止、出现特定事由无法履行或无效等任何理由</w:t>
      </w:r>
      <w:r>
        <w:rPr>
          <w:rFonts w:hint="eastAsia" w:ascii="宋体" w:hAnsi="宋体" w:eastAsia="宋体" w:cs="宋体"/>
          <w:sz w:val="28"/>
          <w:szCs w:val="28"/>
          <w:lang w:val="en-US" w:eastAsia="zh-CN"/>
          <w14:ligatures w14:val="none"/>
        </w:rPr>
        <w:t>退还。</w:t>
      </w:r>
    </w:p>
    <w:p w14:paraId="6B9EE77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2、</w:t>
      </w:r>
      <w:r>
        <w:rPr>
          <w:rFonts w:hint="eastAsia" w:ascii="宋体" w:hAnsi="宋体" w:eastAsia="宋体" w:cs="宋体"/>
          <w:sz w:val="28"/>
          <w:szCs w:val="28"/>
          <w14:ligatures w14:val="none"/>
        </w:rPr>
        <w:t>合同存续期间，如遇</w:t>
      </w:r>
      <w:r>
        <w:rPr>
          <w:rFonts w:hint="eastAsia" w:ascii="宋体" w:hAnsi="宋体" w:eastAsia="宋体" w:cs="宋体"/>
          <w:sz w:val="28"/>
          <w:szCs w:val="28"/>
          <w:lang w:val="en-US" w:eastAsia="zh-CN"/>
          <w14:ligatures w14:val="none"/>
        </w:rPr>
        <w:t>政府</w:t>
      </w:r>
      <w:r>
        <w:rPr>
          <w:rFonts w:hint="eastAsia" w:ascii="宋体" w:hAnsi="宋体" w:eastAsia="宋体" w:cs="宋体"/>
          <w:sz w:val="28"/>
          <w:szCs w:val="28"/>
          <w14:ligatures w14:val="none"/>
        </w:rPr>
        <w:t>征收、征用</w:t>
      </w:r>
      <w:r>
        <w:rPr>
          <w:rFonts w:hint="eastAsia" w:ascii="宋体" w:hAnsi="宋体" w:eastAsia="宋体" w:cs="宋体"/>
          <w:sz w:val="28"/>
          <w:szCs w:val="28"/>
          <w:lang w:val="en-US" w:eastAsia="zh-CN"/>
          <w14:ligatures w14:val="none"/>
        </w:rPr>
        <w:t>合同所属全部或部分土地</w:t>
      </w:r>
      <w:r>
        <w:rPr>
          <w:rFonts w:hint="eastAsia" w:ascii="宋体" w:hAnsi="宋体" w:eastAsia="宋体" w:cs="宋体"/>
          <w:sz w:val="28"/>
          <w:szCs w:val="28"/>
          <w14:ligatures w14:val="none"/>
        </w:rPr>
        <w:t>，合同</w:t>
      </w:r>
      <w:r>
        <w:rPr>
          <w:rFonts w:hint="eastAsia" w:ascii="宋体" w:hAnsi="宋体" w:eastAsia="宋体" w:cs="宋体"/>
          <w:sz w:val="28"/>
          <w:szCs w:val="28"/>
          <w:lang w:val="en-US" w:eastAsia="zh-CN"/>
          <w14:ligatures w14:val="none"/>
        </w:rPr>
        <w:t>自然</w:t>
      </w:r>
      <w:r>
        <w:rPr>
          <w:rFonts w:hint="eastAsia" w:ascii="宋体" w:hAnsi="宋体" w:eastAsia="宋体" w:cs="宋体"/>
          <w:sz w:val="28"/>
          <w:szCs w:val="28"/>
          <w14:ligatures w14:val="none"/>
        </w:rPr>
        <w:t>终止</w:t>
      </w:r>
      <w:r>
        <w:rPr>
          <w:rFonts w:hint="eastAsia" w:ascii="宋体" w:hAnsi="宋体" w:eastAsia="宋体" w:cs="宋体"/>
          <w:sz w:val="28"/>
          <w:szCs w:val="28"/>
          <w:lang w:val="en-US" w:eastAsia="zh-CN"/>
          <w14:ligatures w14:val="none"/>
        </w:rPr>
        <w:t>或相应减少租赁面积</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竞得</w:t>
      </w:r>
      <w:r>
        <w:rPr>
          <w:rFonts w:hint="eastAsia" w:ascii="宋体" w:hAnsi="宋体" w:eastAsia="宋体" w:cs="宋体"/>
          <w:sz w:val="28"/>
          <w:szCs w:val="28"/>
          <w14:ligatures w14:val="none"/>
        </w:rPr>
        <w:t>方必须无条件服从搬迁，</w:t>
      </w:r>
      <w:r>
        <w:rPr>
          <w:rFonts w:hint="eastAsia" w:ascii="宋体" w:hAnsi="宋体" w:eastAsia="宋体" w:cs="宋体"/>
          <w:sz w:val="28"/>
          <w:szCs w:val="28"/>
          <w:lang w:val="en-US" w:eastAsia="zh-CN"/>
          <w14:ligatures w14:val="none"/>
        </w:rPr>
        <w:t>建筑物、附着物的</w:t>
      </w:r>
      <w:r>
        <w:rPr>
          <w:rFonts w:hint="eastAsia" w:ascii="宋体" w:hAnsi="宋体" w:eastAsia="宋体" w:cs="宋体"/>
          <w:sz w:val="28"/>
          <w:szCs w:val="28"/>
          <w14:ligatures w14:val="none"/>
        </w:rPr>
        <w:t>补偿费</w:t>
      </w:r>
      <w:r>
        <w:rPr>
          <w:rFonts w:hint="eastAsia" w:ascii="宋体" w:hAnsi="宋体" w:eastAsia="宋体" w:cs="宋体"/>
          <w:sz w:val="28"/>
          <w:szCs w:val="28"/>
          <w:lang w:val="en-US" w:eastAsia="zh-CN"/>
          <w14:ligatures w14:val="none"/>
        </w:rPr>
        <w:t>分配如下：合同生效日后至2030年2月28日期间如遇</w:t>
      </w:r>
      <w:r>
        <w:rPr>
          <w:rFonts w:hint="eastAsia" w:ascii="宋体" w:hAnsi="宋体" w:eastAsia="宋体" w:cs="宋体"/>
          <w:sz w:val="28"/>
          <w:szCs w:val="28"/>
          <w14:ligatures w14:val="none"/>
        </w:rPr>
        <w:t>征地单位征收、征用</w:t>
      </w:r>
      <w:r>
        <w:rPr>
          <w:rFonts w:hint="eastAsia" w:ascii="宋体" w:hAnsi="宋体" w:eastAsia="宋体" w:cs="宋体"/>
          <w:sz w:val="28"/>
          <w:szCs w:val="28"/>
          <w:lang w:val="en-US" w:eastAsia="zh-CN"/>
          <w14:ligatures w14:val="none"/>
        </w:rPr>
        <w:t>则合同地块内</w:t>
      </w:r>
      <w:r>
        <w:rPr>
          <w:rFonts w:hint="eastAsia" w:ascii="宋体" w:hAnsi="宋体" w:eastAsia="宋体" w:cs="宋体"/>
          <w:sz w:val="28"/>
          <w:szCs w:val="28"/>
          <w14:ligatures w14:val="none"/>
        </w:rPr>
        <w:t>建筑物</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构建物、附着物的</w:t>
      </w:r>
      <w:r>
        <w:rPr>
          <w:rFonts w:hint="eastAsia" w:ascii="宋体" w:hAnsi="宋体" w:eastAsia="宋体" w:cs="宋体"/>
          <w:sz w:val="28"/>
          <w:szCs w:val="28"/>
          <w14:ligatures w14:val="none"/>
        </w:rPr>
        <w:t>补偿费</w:t>
      </w:r>
      <w:r>
        <w:rPr>
          <w:rFonts w:hint="eastAsia" w:ascii="宋体" w:hAnsi="宋体" w:eastAsia="宋体" w:cs="宋体"/>
          <w:sz w:val="28"/>
          <w:szCs w:val="28"/>
          <w:lang w:val="en-US" w:eastAsia="zh-CN"/>
          <w14:ligatures w14:val="none"/>
        </w:rPr>
        <w:t>用60%归属竞得方，另40%归属甲方；2030年3月1日至合同到期日或合同依法解除日期间如遇</w:t>
      </w:r>
      <w:r>
        <w:rPr>
          <w:rFonts w:hint="eastAsia" w:ascii="宋体" w:hAnsi="宋体" w:eastAsia="宋体" w:cs="宋体"/>
          <w:sz w:val="28"/>
          <w:szCs w:val="28"/>
          <w14:ligatures w14:val="none"/>
        </w:rPr>
        <w:t>征地单位征收、征用</w:t>
      </w:r>
      <w:r>
        <w:rPr>
          <w:rFonts w:hint="eastAsia" w:ascii="宋体" w:hAnsi="宋体" w:eastAsia="宋体" w:cs="宋体"/>
          <w:sz w:val="28"/>
          <w:szCs w:val="28"/>
          <w:lang w:val="en-US" w:eastAsia="zh-CN"/>
          <w14:ligatures w14:val="none"/>
        </w:rPr>
        <w:t>则合同地块内</w:t>
      </w:r>
      <w:r>
        <w:rPr>
          <w:rFonts w:hint="eastAsia" w:ascii="宋体" w:hAnsi="宋体" w:eastAsia="宋体" w:cs="宋体"/>
          <w:sz w:val="28"/>
          <w:szCs w:val="28"/>
          <w14:ligatures w14:val="none"/>
        </w:rPr>
        <w:t>建筑物</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构建物、附着物的</w:t>
      </w:r>
      <w:r>
        <w:rPr>
          <w:rFonts w:hint="eastAsia" w:ascii="宋体" w:hAnsi="宋体" w:eastAsia="宋体" w:cs="宋体"/>
          <w:sz w:val="28"/>
          <w:szCs w:val="28"/>
          <w14:ligatures w14:val="none"/>
        </w:rPr>
        <w:t>补偿费</w:t>
      </w:r>
      <w:r>
        <w:rPr>
          <w:rFonts w:hint="eastAsia" w:ascii="宋体" w:hAnsi="宋体" w:eastAsia="宋体" w:cs="宋体"/>
          <w:sz w:val="28"/>
          <w:szCs w:val="28"/>
          <w:lang w:val="en-US" w:eastAsia="zh-CN"/>
          <w14:ligatures w14:val="none"/>
        </w:rPr>
        <w:t>用40%归属竞得方，另60%归属甲方；</w:t>
      </w:r>
      <w:r>
        <w:rPr>
          <w:rFonts w:hint="eastAsia" w:ascii="宋体" w:hAnsi="宋体" w:eastAsia="宋体" w:cs="宋体"/>
          <w:sz w:val="28"/>
          <w:szCs w:val="28"/>
          <w14:ligatures w14:val="none"/>
        </w:rPr>
        <w:t>其他补偿费</w:t>
      </w:r>
      <w:r>
        <w:rPr>
          <w:rFonts w:hint="eastAsia" w:ascii="宋体" w:hAnsi="宋体" w:eastAsia="宋体" w:cs="宋体"/>
          <w:sz w:val="28"/>
          <w:szCs w:val="28"/>
          <w:lang w:val="en-US" w:eastAsia="zh-CN"/>
          <w14:ligatures w14:val="none"/>
        </w:rPr>
        <w:t>用</w:t>
      </w:r>
      <w:r>
        <w:rPr>
          <w:rFonts w:hint="eastAsia" w:ascii="宋体" w:hAnsi="宋体" w:eastAsia="宋体" w:cs="宋体"/>
          <w:sz w:val="28"/>
          <w:szCs w:val="28"/>
          <w14:ligatures w14:val="none"/>
        </w:rPr>
        <w:t>按</w:t>
      </w:r>
      <w:r>
        <w:rPr>
          <w:rFonts w:hint="eastAsia" w:ascii="宋体" w:hAnsi="宋体" w:eastAsia="宋体" w:cs="宋体"/>
          <w:sz w:val="28"/>
          <w:szCs w:val="28"/>
          <w:lang w:val="en-US" w:eastAsia="zh-CN"/>
          <w14:ligatures w14:val="none"/>
        </w:rPr>
        <w:t>南沙区土地征收管理</w:t>
      </w:r>
      <w:r>
        <w:rPr>
          <w:rFonts w:hint="eastAsia" w:ascii="宋体" w:hAnsi="宋体" w:eastAsia="宋体" w:cs="宋体"/>
          <w:sz w:val="28"/>
          <w:szCs w:val="28"/>
          <w14:ligatures w14:val="none"/>
        </w:rPr>
        <w:t>有关政策规定执行。</w:t>
      </w:r>
    </w:p>
    <w:p w14:paraId="08B5FB4F">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征</w:t>
      </w:r>
      <w:r>
        <w:rPr>
          <w:rFonts w:hint="eastAsia" w:ascii="宋体" w:hAnsi="宋体" w:eastAsia="宋体" w:cs="宋体"/>
          <w:sz w:val="28"/>
          <w:szCs w:val="28"/>
          <w:lang w:val="en-US" w:eastAsia="zh-CN"/>
          <w14:ligatures w14:val="none"/>
        </w:rPr>
        <w:t>收、征用</w:t>
      </w:r>
      <w:r>
        <w:rPr>
          <w:rFonts w:hint="eastAsia" w:ascii="宋体" w:hAnsi="宋体" w:eastAsia="宋体" w:cs="宋体"/>
          <w:sz w:val="28"/>
          <w:szCs w:val="28"/>
          <w14:ligatures w14:val="none"/>
        </w:rPr>
        <w:t>时间界定以征地单位发布征地公告（预公告）、建设通告</w:t>
      </w:r>
      <w:r>
        <w:rPr>
          <w:rFonts w:hint="eastAsia" w:ascii="宋体" w:hAnsi="宋体" w:eastAsia="宋体" w:cs="宋体"/>
          <w:sz w:val="28"/>
          <w:szCs w:val="28"/>
          <w:lang w:val="en-US" w:eastAsia="zh-CN"/>
          <w14:ligatures w14:val="none"/>
        </w:rPr>
        <w:t>的落款</w:t>
      </w:r>
      <w:r>
        <w:rPr>
          <w:rFonts w:hint="eastAsia" w:ascii="宋体" w:hAnsi="宋体" w:eastAsia="宋体" w:cs="宋体"/>
          <w:sz w:val="28"/>
          <w:szCs w:val="28"/>
          <w14:ligatures w14:val="none"/>
        </w:rPr>
        <w:t>日期为准</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因电力线路、水利建设、煤气管道等公益事业类建设需要由建设单位（出资单位）、广州市南沙区土地开发中心、东涌镇石基股份合作经济联合社三方参照《广州市南沙区集体土地和集体土地上房屋征收补偿安置办法》标准签订的永久用地补偿合同视同征用，征用</w:t>
      </w:r>
      <w:r>
        <w:rPr>
          <w:rFonts w:hint="eastAsia" w:ascii="宋体" w:hAnsi="宋体" w:eastAsia="宋体" w:cs="宋体"/>
          <w:sz w:val="28"/>
          <w:szCs w:val="28"/>
          <w14:ligatures w14:val="none"/>
        </w:rPr>
        <w:t>时间界定以</w:t>
      </w:r>
      <w:r>
        <w:rPr>
          <w:rFonts w:hint="eastAsia" w:ascii="宋体" w:hAnsi="宋体" w:eastAsia="宋体" w:cs="宋体"/>
          <w:sz w:val="28"/>
          <w:szCs w:val="28"/>
          <w:lang w:val="en-US" w:eastAsia="zh-CN"/>
          <w14:ligatures w14:val="none"/>
        </w:rPr>
        <w:t>上述三方签订的用地补偿合同落款</w:t>
      </w:r>
      <w:r>
        <w:rPr>
          <w:rFonts w:hint="eastAsia" w:ascii="宋体" w:hAnsi="宋体" w:eastAsia="宋体" w:cs="宋体"/>
          <w:sz w:val="28"/>
          <w:szCs w:val="28"/>
          <w14:ligatures w14:val="none"/>
        </w:rPr>
        <w:t>日期为准</w:t>
      </w:r>
      <w:r>
        <w:rPr>
          <w:rFonts w:hint="eastAsia" w:ascii="宋体" w:hAnsi="宋体" w:eastAsia="宋体" w:cs="宋体"/>
          <w:sz w:val="28"/>
          <w:szCs w:val="28"/>
          <w:lang w:eastAsia="zh-CN"/>
          <w14:ligatures w14:val="none"/>
        </w:rPr>
        <w:t>。</w:t>
      </w:r>
    </w:p>
    <w:p w14:paraId="7A156718">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租赁合同期满或合同解除后，</w:t>
      </w:r>
      <w:r>
        <w:rPr>
          <w:rFonts w:hint="eastAsia" w:ascii="宋体" w:hAnsi="宋体" w:eastAsia="宋体" w:cs="宋体"/>
          <w:sz w:val="28"/>
          <w:szCs w:val="28"/>
          <w:lang w:val="en-US" w:eastAsia="zh-CN"/>
          <w14:ligatures w14:val="none"/>
        </w:rPr>
        <w:t>合同地块上建筑物、构建物、附着物、</w:t>
      </w:r>
      <w:r>
        <w:rPr>
          <w:rFonts w:hint="eastAsia" w:ascii="宋体" w:hAnsi="宋体" w:eastAsia="宋体" w:cs="宋体"/>
          <w:sz w:val="28"/>
          <w:szCs w:val="28"/>
          <w14:ligatures w14:val="none"/>
        </w:rPr>
        <w:t>已形成</w:t>
      </w:r>
      <w:r>
        <w:rPr>
          <w:rFonts w:hint="eastAsia" w:ascii="宋体" w:hAnsi="宋体" w:eastAsia="宋体" w:cs="宋体"/>
          <w:sz w:val="28"/>
          <w:szCs w:val="28"/>
          <w:lang w:val="en-US" w:eastAsia="zh-CN"/>
          <w14:ligatures w14:val="none"/>
        </w:rPr>
        <w:t>附着于建筑主体</w:t>
      </w:r>
      <w:r>
        <w:rPr>
          <w:rFonts w:hint="eastAsia" w:ascii="宋体" w:hAnsi="宋体" w:eastAsia="宋体" w:cs="宋体"/>
          <w:sz w:val="28"/>
          <w:szCs w:val="28"/>
          <w14:ligatures w14:val="none"/>
        </w:rPr>
        <w:t>的</w:t>
      </w:r>
      <w:r>
        <w:rPr>
          <w:rFonts w:hint="eastAsia" w:ascii="宋体" w:hAnsi="宋体" w:eastAsia="宋体" w:cs="宋体"/>
          <w:sz w:val="28"/>
          <w:szCs w:val="28"/>
          <w:lang w:val="en-US" w:eastAsia="zh-CN"/>
          <w14:ligatures w14:val="none"/>
        </w:rPr>
        <w:t>水电线路及</w:t>
      </w:r>
      <w:r>
        <w:rPr>
          <w:rFonts w:hint="eastAsia" w:ascii="宋体" w:hAnsi="宋体" w:eastAsia="宋体" w:cs="宋体"/>
          <w:sz w:val="28"/>
          <w:szCs w:val="28"/>
          <w14:ligatures w14:val="none"/>
        </w:rPr>
        <w:t>装饰装修物</w:t>
      </w:r>
      <w:r>
        <w:rPr>
          <w:rFonts w:hint="eastAsia" w:ascii="宋体" w:hAnsi="宋体" w:eastAsia="宋体" w:cs="宋体"/>
          <w:sz w:val="28"/>
          <w:szCs w:val="28"/>
          <w:lang w:val="en-US" w:eastAsia="zh-CN"/>
          <w14:ligatures w14:val="none"/>
        </w:rPr>
        <w:t>归东涌镇石基股份合作经济联合社所有。竞得人</w:t>
      </w:r>
      <w:r>
        <w:rPr>
          <w:rFonts w:hint="eastAsia" w:ascii="宋体" w:hAnsi="宋体" w:eastAsia="宋体" w:cs="宋体"/>
          <w:sz w:val="28"/>
          <w:szCs w:val="28"/>
          <w14:ligatures w14:val="none"/>
        </w:rPr>
        <w:t>如迟延交还</w:t>
      </w:r>
      <w:r>
        <w:rPr>
          <w:rFonts w:hint="eastAsia" w:ascii="宋体" w:hAnsi="宋体" w:eastAsia="宋体" w:cs="宋体"/>
          <w:sz w:val="28"/>
          <w:szCs w:val="28"/>
          <w:lang w:val="en-US" w:eastAsia="zh-CN"/>
          <w14:ligatures w14:val="none"/>
        </w:rPr>
        <w:t>租赁地块</w:t>
      </w:r>
      <w:r>
        <w:rPr>
          <w:rFonts w:hint="eastAsia" w:ascii="宋体" w:hAnsi="宋体" w:eastAsia="宋体" w:cs="宋体"/>
          <w:sz w:val="28"/>
          <w:szCs w:val="28"/>
          <w14:ligatures w14:val="none"/>
        </w:rPr>
        <w:t>，自延迟之日起</w:t>
      </w:r>
      <w:r>
        <w:rPr>
          <w:rFonts w:hint="eastAsia" w:ascii="宋体" w:hAnsi="宋体" w:eastAsia="宋体" w:cs="宋体"/>
          <w:sz w:val="28"/>
          <w:szCs w:val="28"/>
          <w:lang w:val="en-US" w:eastAsia="zh-CN"/>
          <w14:ligatures w14:val="none"/>
        </w:rPr>
        <w:t>以占用时前一期租金标准的5倍按日</w:t>
      </w:r>
      <w:r>
        <w:rPr>
          <w:rFonts w:hint="eastAsia" w:ascii="宋体" w:hAnsi="宋体" w:eastAsia="宋体" w:cs="宋体"/>
          <w:sz w:val="28"/>
          <w:szCs w:val="28"/>
          <w14:ligatures w14:val="none"/>
        </w:rPr>
        <w:t>计收</w:t>
      </w:r>
      <w:r>
        <w:rPr>
          <w:rFonts w:hint="eastAsia" w:ascii="宋体" w:hAnsi="宋体" w:eastAsia="宋体" w:cs="宋体"/>
          <w:sz w:val="28"/>
          <w:szCs w:val="28"/>
          <w:lang w:val="en-US" w:eastAsia="zh-CN"/>
          <w14:ligatures w14:val="none"/>
        </w:rPr>
        <w:t>占用费</w:t>
      </w: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出租方同时</w:t>
      </w:r>
      <w:r>
        <w:rPr>
          <w:rFonts w:hint="eastAsia" w:ascii="宋体" w:hAnsi="宋体" w:eastAsia="宋体" w:cs="宋体"/>
          <w:sz w:val="28"/>
          <w:szCs w:val="28"/>
          <w14:ligatures w14:val="none"/>
        </w:rPr>
        <w:t>有权采取一切必要措施直接收回土地</w:t>
      </w:r>
      <w:r>
        <w:rPr>
          <w:rFonts w:hint="eastAsia" w:ascii="宋体" w:hAnsi="宋体" w:eastAsia="宋体" w:cs="宋体"/>
          <w:sz w:val="28"/>
          <w:szCs w:val="28"/>
          <w:lang w:eastAsia="zh-CN"/>
          <w14:ligatures w14:val="none"/>
        </w:rPr>
        <w:t>。</w:t>
      </w:r>
    </w:p>
    <w:p w14:paraId="02E9A07A">
      <w:pPr>
        <w:widowControl/>
        <w:spacing w:line="520" w:lineRule="exact"/>
        <w:ind w:firstLine="560" w:firstLineChars="200"/>
        <w:jc w:val="left"/>
        <w:rPr>
          <w:rFonts w:hint="eastAsia" w:ascii="宋体" w:hAnsi="宋体" w:eastAsia="宋体" w:cs="宋体"/>
          <w:sz w:val="28"/>
          <w:szCs w:val="28"/>
          <w:lang w:val="en-US" w:eastAsia="zh-CN"/>
          <w14:ligatures w14:val="none"/>
        </w:rPr>
      </w:pPr>
      <w:r>
        <w:rPr>
          <w:rFonts w:hint="eastAsia" w:ascii="宋体" w:hAnsi="宋体" w:eastAsia="宋体" w:cs="宋体"/>
          <w:sz w:val="28"/>
          <w:szCs w:val="28"/>
          <w:lang w:val="en-US" w:eastAsia="zh-CN"/>
          <w14:ligatures w14:val="none"/>
        </w:rPr>
        <w:t>4、风险提示：</w:t>
      </w:r>
      <w:r>
        <w:rPr>
          <w:rFonts w:hint="eastAsia" w:ascii="宋体" w:hAnsi="宋体" w:eastAsia="宋体" w:cs="宋体"/>
          <w:sz w:val="28"/>
          <w:szCs w:val="28"/>
          <w14:ligatures w14:val="none"/>
        </w:rPr>
        <w:t>地上建筑物为无产权简易结构临时建筑，存在违建风险。2022年土地利用现状（工业用地），根据自然资源相关执法规定，擅自使用无任何合法权源的地块将被视为新增违法用地，</w:t>
      </w:r>
      <w:r>
        <w:rPr>
          <w:rFonts w:hint="eastAsia" w:ascii="宋体" w:hAnsi="宋体" w:eastAsia="宋体" w:cs="宋体"/>
          <w:sz w:val="28"/>
          <w:szCs w:val="28"/>
          <w:lang w:val="en-US" w:eastAsia="zh-CN"/>
          <w14:ligatures w14:val="none"/>
        </w:rPr>
        <w:t>新承租</w:t>
      </w:r>
      <w:r>
        <w:rPr>
          <w:rFonts w:hint="eastAsia" w:ascii="宋体" w:hAnsi="宋体" w:eastAsia="宋体" w:cs="宋体"/>
          <w:sz w:val="28"/>
          <w:szCs w:val="28"/>
          <w14:ligatures w14:val="none"/>
        </w:rPr>
        <w:t>方需依法依规使用土地。</w:t>
      </w:r>
    </w:p>
    <w:bookmarkEnd w:id="4"/>
    <w:p w14:paraId="356CBF9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.意向受让（承租）方成功竞得的，须在竞得之后3个工作日内签署《成交确认书》（具体签署时间请留意电话和短信通知），否则视为自动放弃竞得资格。</w:t>
      </w:r>
    </w:p>
    <w:p w14:paraId="27FFEC4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6</w:t>
      </w:r>
      <w:r>
        <w:rPr>
          <w:rFonts w:hint="eastAsia" w:ascii="宋体" w:hAnsi="宋体" w:eastAsia="宋体" w:cs="宋体"/>
          <w:sz w:val="28"/>
          <w:szCs w:val="28"/>
          <w14:ligatures w14:val="none"/>
        </w:rPr>
        <w:t>. 受让（承租）方须在交易结果公示结束后3个工作日内，凭</w:t>
      </w:r>
      <w:r>
        <w:rPr>
          <w:rFonts w:hint="eastAsia" w:ascii="宋体" w:hAnsi="宋体" w:eastAsia="宋体" w:cs="宋体"/>
          <w:sz w:val="28"/>
          <w:szCs w:val="28"/>
          <w:lang w:val="en-US" w:eastAsia="zh-CN"/>
          <w14:ligatures w14:val="none"/>
        </w:rPr>
        <w:t>成交确认书</w:t>
      </w:r>
      <w:r>
        <w:rPr>
          <w:rFonts w:hint="eastAsia" w:ascii="宋体" w:hAnsi="宋体" w:eastAsia="宋体" w:cs="宋体"/>
          <w:sz w:val="28"/>
          <w:szCs w:val="28"/>
          <w14:ligatures w14:val="none"/>
        </w:rPr>
        <w:t>与项目出租方签署《租赁合同》</w:t>
      </w:r>
      <w:r>
        <w:rPr>
          <w:rFonts w:hint="eastAsia" w:ascii="宋体" w:hAnsi="宋体" w:eastAsia="宋体" w:cs="宋体"/>
          <w:sz w:val="28"/>
          <w:szCs w:val="28"/>
          <w:lang w:val="en-US" w:eastAsia="zh-CN"/>
          <w14:ligatures w14:val="none"/>
        </w:rPr>
        <w:t>并补足不足的履约保证金款项</w:t>
      </w:r>
      <w:r>
        <w:rPr>
          <w:rFonts w:hint="eastAsia" w:ascii="宋体" w:hAnsi="宋体" w:eastAsia="宋体" w:cs="宋体"/>
          <w:sz w:val="28"/>
          <w:szCs w:val="28"/>
          <w14:ligatures w14:val="none"/>
        </w:rPr>
        <w:t>，否则视为受让（承租）方违约，交易保证金在扣除交易服务费后余额赔付给项目出租方。</w:t>
      </w:r>
    </w:p>
    <w:p w14:paraId="2017945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7</w:t>
      </w:r>
      <w:r>
        <w:rPr>
          <w:rFonts w:hint="eastAsia" w:ascii="宋体" w:hAnsi="宋体" w:eastAsia="宋体" w:cs="宋体"/>
          <w:sz w:val="28"/>
          <w:szCs w:val="28"/>
          <w14:ligatures w14:val="none"/>
        </w:rPr>
        <w:t>.受让（承租）方须与项目出租方按本项目披露的《租赁合同》进行签订，同意按照《租赁合同》的要求进行签署。</w:t>
      </w:r>
    </w:p>
    <w:p w14:paraId="43A2AAD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8</w:t>
      </w:r>
      <w:r>
        <w:rPr>
          <w:rFonts w:hint="eastAsia" w:ascii="宋体" w:hAnsi="宋体" w:eastAsia="宋体" w:cs="宋体"/>
          <w:sz w:val="28"/>
          <w:szCs w:val="28"/>
          <w14:ligatures w14:val="none"/>
        </w:rPr>
        <w:t>.意向受让（承租）方须认真审阅《租赁合同》，报名即视为已明确知晓《租赁合同》及所附附件之全部条款，对《租赁合同》及所附附件的内容无异议并全面接受。</w:t>
      </w:r>
    </w:p>
    <w:p w14:paraId="527FEC4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lang w:val="en-US" w:eastAsia="zh-CN"/>
          <w14:ligatures w14:val="none"/>
        </w:rPr>
        <w:t>9</w:t>
      </w:r>
      <w:r>
        <w:rPr>
          <w:rFonts w:hint="eastAsia" w:ascii="宋体" w:hAnsi="宋体" w:eastAsia="宋体" w:cs="宋体"/>
          <w:sz w:val="28"/>
          <w:szCs w:val="28"/>
          <w14:ligatures w14:val="none"/>
        </w:rPr>
        <w:t>.违约责任：确认成交后因受让（承租）方原因无法签署《成交确认书》或《租赁合同》，则交易保证金在扣除交易服务费后余额作为违约金赔付给项目出租方；签署合同后的违约责任按《租赁合同》违约条款执行。</w:t>
      </w:r>
    </w:p>
    <w:p w14:paraId="1097CC7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二、意向受让（承租）方准入条件</w:t>
      </w:r>
    </w:p>
    <w:p w14:paraId="6EFBBCB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一）意向受让（承租）方必须是在中华人民共和国境内注册并合法运作的独立法人或其他非法人组织（如合伙企业、个人独资企业）、经工商登记注册的个体户以及具有完全民事行为能力的自然人，除法律法规及项目业主单位另有规定外。</w:t>
      </w:r>
    </w:p>
    <w:p w14:paraId="2834540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二</w:t>
      </w:r>
      <w:r>
        <w:rPr>
          <w:rFonts w:hint="eastAsia" w:ascii="宋体" w:hAnsi="宋体" w:eastAsia="宋体" w:cs="宋体"/>
          <w:sz w:val="28"/>
          <w:szCs w:val="28"/>
          <w14:ligatures w14:val="none"/>
        </w:rPr>
        <w:t>）意向方凡被列入经营异常名录的不得参与（意向方曾被列入经营异常名录，但在办理报名登记手续前已移出经营异常名录的除外，以国家企业信用信息公示系统http://www.gsxt.gov.cn/index.html查询结果为准）。</w:t>
      </w:r>
    </w:p>
    <w:p w14:paraId="7A874F6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三</w:t>
      </w:r>
      <w:r>
        <w:rPr>
          <w:rFonts w:hint="eastAsia" w:ascii="宋体" w:hAnsi="宋体" w:eastAsia="宋体" w:cs="宋体"/>
          <w:sz w:val="28"/>
          <w:szCs w:val="28"/>
          <w14:ligatures w14:val="none"/>
        </w:rPr>
        <w:t>）意向方或其法定代表人被列入失信被执行人名单(以中国执行信息公开网http://zxgk.court.gov.cn/shixin/查询结果为准)、重大税收违法案件当事人名单（以信用中国https://www.creditchina.gov.cn/xinyongfuwu/zhongdashuishouweifaanjian/查询结果为准）以及登记在</w:t>
      </w:r>
      <w:r>
        <w:rPr>
          <w:rFonts w:hint="eastAsia" w:ascii="宋体" w:hAnsi="宋体" w:eastAsia="宋体" w:cs="宋体"/>
          <w:sz w:val="28"/>
          <w:szCs w:val="28"/>
          <w:lang w:val="en-US" w:eastAsia="zh-CN"/>
          <w14:ligatures w14:val="none"/>
        </w:rPr>
        <w:t>项目业主方</w:t>
      </w:r>
      <w:r>
        <w:rPr>
          <w:rFonts w:hint="eastAsia" w:ascii="宋体" w:hAnsi="宋体" w:eastAsia="宋体" w:cs="宋体"/>
          <w:sz w:val="28"/>
          <w:szCs w:val="28"/>
          <w14:ligatures w14:val="none"/>
        </w:rPr>
        <w:t>异常名单的不得参与。</w:t>
      </w:r>
    </w:p>
    <w:p w14:paraId="460FC1F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w:t>
      </w:r>
      <w:r>
        <w:rPr>
          <w:rFonts w:hint="eastAsia" w:ascii="宋体" w:hAnsi="宋体" w:eastAsia="宋体" w:cs="宋体"/>
          <w:sz w:val="28"/>
          <w:szCs w:val="28"/>
          <w:lang w:val="en-US" w:eastAsia="zh-CN"/>
          <w14:ligatures w14:val="none"/>
        </w:rPr>
        <w:t>四</w:t>
      </w:r>
      <w:r>
        <w:rPr>
          <w:rFonts w:hint="eastAsia" w:ascii="宋体" w:hAnsi="宋体" w:eastAsia="宋体" w:cs="宋体"/>
          <w:sz w:val="28"/>
          <w:szCs w:val="28"/>
          <w14:ligatures w14:val="none"/>
        </w:rPr>
        <w:t>）本次出租不接受联合体承租。</w:t>
      </w:r>
    </w:p>
    <w:p w14:paraId="0194A80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三、意向受让（承租）方可按照以下方式实地勘察该项目</w:t>
      </w:r>
    </w:p>
    <w:p w14:paraId="175FDBF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本次竞投不组织实地查看</w:t>
      </w:r>
      <w:r>
        <w:rPr>
          <w:rFonts w:hint="eastAsia" w:ascii="宋体" w:hAnsi="宋体" w:eastAsia="宋体" w:cs="宋体"/>
          <w:sz w:val="28"/>
          <w:szCs w:val="28"/>
          <w:lang w:eastAsia="zh-CN"/>
          <w14:ligatures w14:val="none"/>
        </w:rPr>
        <w:t>，</w:t>
      </w:r>
      <w:r>
        <w:rPr>
          <w:rFonts w:hint="eastAsia" w:ascii="宋体" w:hAnsi="宋体" w:eastAsia="宋体" w:cs="宋体"/>
          <w:sz w:val="28"/>
          <w:szCs w:val="28"/>
          <w14:ligatures w14:val="none"/>
        </w:rPr>
        <w:t>资产具体位置，标的以实物为准，意向受让（承租）方可自行查看资产的位置及了解基本情况。</w:t>
      </w:r>
    </w:p>
    <w:p w14:paraId="4D01D3D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四、报名事项 </w:t>
      </w:r>
    </w:p>
    <w:p w14:paraId="5A29F39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（一）本项目仅接受线上报名，以系统通过报名为准。(意向受让（承租）方必须在广州农村产权交易所农村产权（集体资产）流转交易服务平台注册登记并进行报名) 。 </w:t>
      </w:r>
    </w:p>
    <w:p w14:paraId="314D819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1.系统注册地址：</w:t>
      </w:r>
      <w:r>
        <w:rPr>
          <w:rFonts w:hint="eastAsia" w:ascii="宋体" w:hAnsi="宋体" w:eastAsia="宋体" w:cs="宋体"/>
          <w:sz w:val="28"/>
          <w:szCs w:val="28"/>
          <w:lang w:val="en-US" w:eastAsia="zh-CN"/>
          <w14:ligatures w14:val="none"/>
        </w:rPr>
        <w:t>https://www.gzaee.cn/gzcqjy/member/login.do</w:t>
      </w:r>
    </w:p>
    <w:p w14:paraId="2BD947C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2.注册完成后选择本项目进行报名并按要求提交报名资料及缴纳交易保证金。</w:t>
      </w:r>
    </w:p>
    <w:p w14:paraId="49A36BB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3.缴纳交易保证金、网上报名时间：</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14</w:t>
      </w:r>
      <w:r>
        <w:rPr>
          <w:rFonts w:hint="eastAsia" w:ascii="宋体" w:hAnsi="宋体" w:eastAsia="宋体" w:cs="宋体"/>
          <w:sz w:val="28"/>
          <w:szCs w:val="28"/>
          <w14:ligatures w14:val="none"/>
        </w:rPr>
        <w:t>日至</w:t>
      </w:r>
      <w:r>
        <w:rPr>
          <w:rFonts w:hint="eastAsia" w:ascii="宋体" w:hAnsi="宋体" w:eastAsia="宋体" w:cs="宋体"/>
          <w:sz w:val="28"/>
          <w:szCs w:val="28"/>
          <w:lang w:eastAsia="zh-CN"/>
          <w14:ligatures w14:val="none"/>
        </w:rPr>
        <w:t>2025</w:t>
      </w:r>
      <w:r>
        <w:rPr>
          <w:rFonts w:hint="eastAsia" w:ascii="宋体" w:hAnsi="宋体" w:eastAsia="宋体" w:cs="宋体"/>
          <w:sz w:val="28"/>
          <w:szCs w:val="28"/>
          <w14:ligatures w14:val="none"/>
        </w:rPr>
        <w:t>年</w:t>
      </w:r>
      <w:r>
        <w:rPr>
          <w:rFonts w:hint="eastAsia" w:ascii="宋体" w:hAnsi="宋体" w:eastAsia="宋体" w:cs="宋体"/>
          <w:sz w:val="28"/>
          <w:szCs w:val="28"/>
          <w:lang w:val="en-US" w:eastAsia="zh-CN"/>
          <w14:ligatures w14:val="none"/>
        </w:rPr>
        <w:t>5</w:t>
      </w:r>
      <w:r>
        <w:rPr>
          <w:rFonts w:hint="eastAsia" w:ascii="宋体" w:hAnsi="宋体" w:eastAsia="宋体" w:cs="宋体"/>
          <w:sz w:val="28"/>
          <w:szCs w:val="28"/>
          <w14:ligatures w14:val="none"/>
        </w:rPr>
        <w:t>月</w:t>
      </w:r>
      <w:r>
        <w:rPr>
          <w:rFonts w:hint="eastAsia" w:ascii="宋体" w:hAnsi="宋体" w:eastAsia="宋体" w:cs="宋体"/>
          <w:sz w:val="28"/>
          <w:szCs w:val="28"/>
          <w:lang w:val="en-US" w:eastAsia="zh-CN"/>
          <w14:ligatures w14:val="none"/>
        </w:rPr>
        <w:t>23</w:t>
      </w:r>
      <w:r>
        <w:rPr>
          <w:rFonts w:hint="eastAsia" w:ascii="宋体" w:hAnsi="宋体" w:eastAsia="宋体" w:cs="宋体"/>
          <w:sz w:val="28"/>
          <w:szCs w:val="28"/>
          <w14:ligatures w14:val="none"/>
        </w:rPr>
        <w:t>日1</w:t>
      </w:r>
      <w:r>
        <w:rPr>
          <w:rFonts w:hint="eastAsia" w:ascii="宋体" w:hAnsi="宋体" w:eastAsia="宋体" w:cs="宋体"/>
          <w:sz w:val="28"/>
          <w:szCs w:val="28"/>
          <w:lang w:val="en-US" w:eastAsia="zh-CN"/>
          <w14:ligatures w14:val="none"/>
        </w:rPr>
        <w:t>8</w:t>
      </w:r>
      <w:r>
        <w:rPr>
          <w:rFonts w:hint="eastAsia" w:ascii="宋体" w:hAnsi="宋体" w:eastAsia="宋体" w:cs="宋体"/>
          <w:sz w:val="28"/>
          <w:szCs w:val="28"/>
          <w14:ligatures w14:val="none"/>
        </w:rPr>
        <w:t>时前（以银行到账为准）。</w:t>
      </w:r>
    </w:p>
    <w:p w14:paraId="1D6938A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（二）报名需提交的资料（上传提交的资料须为加盖公章的扫描件或照片）：</w:t>
      </w:r>
    </w:p>
    <w:p w14:paraId="68B0513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1.意向受让（承租）方为具有中国国籍、完全民事行为能力自然人的，须提供居民身份证复印件。在委托代理情况下还须提供授权委托书原件及受托人身份证复印件（均须加盖双方手指模）；</w:t>
      </w:r>
    </w:p>
    <w:p w14:paraId="4F27807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意向受让（承租）方为法人/非法人组织的，须提供法人/非法人组织资格证明复印件加盖公章、法定代表人/负责人身份证复印件加盖公章、法定代表人/负责人身份证明书原件加盖公章，在委托代理情况下还须提供授权委托书原件加盖公章及受托人身份证复印件加盖公章。</w:t>
      </w:r>
    </w:p>
    <w:p w14:paraId="39775F5E">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意向受让（承租）方为工商登记注册个体户的，须提供工商登记注册个体户有效营业执照复印件加盖公章、个体户负责人居民身份证复印件加盖公章。在委托代理情况下还须提供授权委托书原件及受托人身份证复印件（均须加盖公章或双方手指模）；</w:t>
      </w:r>
    </w:p>
    <w:p w14:paraId="15ED3317">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4.意向受让（承租）方需保证所提交的资质、资格在公告发布之日至合同签订日期间真实、有效，并承诺在前述期间内不对影响项目报名的资质、资格进行变更。否则，一经发现，广州农交所有权取消意向受让（承租）方已取得的竞价资格。 </w:t>
      </w:r>
    </w:p>
    <w:p w14:paraId="47CDC4E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（三）其他事项： </w:t>
      </w:r>
    </w:p>
    <w:p w14:paraId="3C06EF8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1.同一项目编号同一意向受让（承租）方（法人或非法人组织或个体户或自然人）只能报名一次（因项目延期、中止、原受让（承租）方弃标重启除外）。 </w:t>
      </w:r>
    </w:p>
    <w:p w14:paraId="71204803">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2.本项目交易保证金需通过境内银行转账方式缴交，且交易保证金转账人、意向受让（承租）方、合同乙方须一致。</w:t>
      </w:r>
    </w:p>
    <w:p w14:paraId="7E7794D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3.意向受让（承租）方、意向受让（承租）方（法人、非法人组织等）的法定代表人、受委托人在广州农交所办理报名时，需签名的文件都必须由本人亲笔签名或电子签名。</w:t>
      </w:r>
    </w:p>
    <w:p w14:paraId="4C96291D">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五、法定优先权申报要求</w:t>
      </w:r>
    </w:p>
    <w:p w14:paraId="37B4271C">
      <w:pPr>
        <w:widowControl/>
        <w:spacing w:line="520" w:lineRule="exact"/>
        <w:ind w:firstLine="560" w:firstLineChars="200"/>
        <w:jc w:val="left"/>
        <w:rPr>
          <w:rFonts w:hint="eastAsia" w:ascii="宋体" w:hAnsi="宋体" w:eastAsia="宋体" w:cs="宋体"/>
          <w:sz w:val="28"/>
          <w:szCs w:val="28"/>
          <w14:ligatures w14:val="none"/>
        </w:rPr>
      </w:pPr>
      <w:bookmarkStart w:id="6" w:name="_Hlk116140967"/>
      <w:r>
        <w:rPr>
          <w:rFonts w:hint="eastAsia" w:ascii="宋体" w:hAnsi="宋体" w:eastAsia="宋体" w:cs="宋体"/>
          <w:sz w:val="28"/>
          <w:szCs w:val="28"/>
          <w14:ligatures w14:val="none"/>
        </w:rPr>
        <w:t>本项目</w:t>
      </w:r>
      <w:r>
        <w:rPr>
          <w:rFonts w:hint="eastAsia" w:ascii="宋体" w:hAnsi="宋体" w:eastAsia="宋体" w:cs="宋体"/>
          <w:sz w:val="28"/>
          <w:szCs w:val="28"/>
          <w:u w:val="single"/>
          <w14:ligatures w14:val="none"/>
        </w:rPr>
        <w:t xml:space="preserve"> 无 </w:t>
      </w:r>
      <w:r>
        <w:rPr>
          <w:rFonts w:hint="eastAsia" w:ascii="宋体" w:hAnsi="宋体" w:eastAsia="宋体" w:cs="宋体"/>
          <w:sz w:val="28"/>
          <w:szCs w:val="28"/>
          <w14:ligatures w14:val="none"/>
        </w:rPr>
        <w:t>享有法定优先权的个人或单位。</w:t>
      </w:r>
      <w:bookmarkEnd w:id="6"/>
    </w:p>
    <w:p w14:paraId="154D346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六、交易保证金交纳要求 </w:t>
      </w:r>
    </w:p>
    <w:p w14:paraId="06731FB2">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本项目保证金具体银行账号请于报名成功后，登录用户中心，在“已报名项目”栏目，选择本项目并点击对应的“保证金-待缴款”按钮进行查看，此账号为本项目唯一保证金监管账号，请务必按照公告要求按时向本账号交纳保证金，切勿打入其他标的账户或他人账户， 避免造成无效保证金！如有任何疑问，请及时与本项目经办人联系。</w:t>
      </w:r>
    </w:p>
    <w:p w14:paraId="0B4CF10F">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（一）注意事项：</w:t>
      </w:r>
    </w:p>
    <w:p w14:paraId="25BCD8FA">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1.交易保证金须在指定时间内实名到账方有效，以银行到账时间为准，如因跨行转账所产生的延迟到账问题由受让（承租）方承担不利后果。</w:t>
      </w:r>
    </w:p>
    <w:p w14:paraId="269AF958">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交易保证金必须以意向受让（承租）方的同名账户通过银行转账，不接受其他方式（包括但不限于现金汇款、支付宝、微信、第三方、公证委托等）转账。除项目业主单位同意并书面授权外，所有到账的交易保证金处理方式如下：</w:t>
      </w:r>
    </w:p>
    <w:p w14:paraId="225C7A64">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（1）若意向受让（承租）方未被确认为交易标的受让（承租）方的，在交易结束后5个工作日内，广州农交所按规定将其交易保证金不计利息原路退回。</w:t>
      </w:r>
    </w:p>
    <w:p w14:paraId="50D0048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（2）若意向受让（承租）方被确认为交易标的受让（承租）方，</w:t>
      </w:r>
      <w:r>
        <w:rPr>
          <w:rFonts w:hint="eastAsia" w:ascii="宋体" w:hAnsi="宋体" w:eastAsia="宋体" w:cs="宋体"/>
          <w:sz w:val="28"/>
          <w:szCs w:val="28"/>
          <w:lang w:val="en-US" w:eastAsia="zh-CN"/>
          <w14:ligatures w14:val="none"/>
        </w:rPr>
        <w:t>签订成交确认书后三个工作日内，出租方向</w:t>
      </w:r>
      <w:r>
        <w:rPr>
          <w:rFonts w:hint="eastAsia" w:ascii="宋体" w:hAnsi="宋体" w:eastAsia="宋体" w:cs="宋体"/>
          <w:sz w:val="28"/>
          <w:szCs w:val="28"/>
          <w14:ligatures w14:val="none"/>
        </w:rPr>
        <w:t>广州农交所</w:t>
      </w:r>
      <w:r>
        <w:rPr>
          <w:rFonts w:hint="eastAsia" w:ascii="宋体" w:hAnsi="宋体" w:eastAsia="宋体" w:cs="宋体"/>
          <w:sz w:val="28"/>
          <w:szCs w:val="28"/>
          <w:lang w:val="en-US" w:eastAsia="zh-CN"/>
          <w14:ligatures w14:val="none"/>
        </w:rPr>
        <w:t>支付服务费，收到服务费后，广州农交所将</w:t>
      </w:r>
      <w:r>
        <w:rPr>
          <w:rFonts w:hint="eastAsia" w:ascii="宋体" w:hAnsi="宋体" w:eastAsia="宋体" w:cs="宋体"/>
          <w:sz w:val="28"/>
          <w:szCs w:val="28"/>
          <w14:ligatures w14:val="none"/>
        </w:rPr>
        <w:t>交易保证金3个工作日内作为合同押金按约定不计利息转至项目出租方指定账户，不足部分，由受让（承租）方须在签署租赁合同前向项目出租方补足。</w:t>
      </w:r>
    </w:p>
    <w:p w14:paraId="6F7AE39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3）意向受让（承租）方被确认为交易标的受让（承租）方后，如出现违反如下（二）“保证内容”中的任一情形的，视为违约，其交纳的交易保证金不予退回，由广州农交所扣除其应付给本司的交易服务费后，余额作为违约金划归项目出租方所有。</w:t>
      </w:r>
    </w:p>
    <w:p w14:paraId="5FFD6901">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（二）保证内容：</w:t>
      </w:r>
    </w:p>
    <w:p w14:paraId="17B2462D">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1.意向受让（承租）方被确认为交易标的受让（承租）方后，该受让（承租）方应按公告、交易须知的约定在3个工作日内与项目业主单位和广州农交所签署《成交确认书》（具体签署时间请留意电话和短信通知），并在项目成交结果公示结束后3个工作日内与项目业主单位签署《租赁合同》。</w:t>
      </w:r>
    </w:p>
    <w:p w14:paraId="2D3AE020">
      <w:pPr>
        <w:widowControl/>
        <w:spacing w:line="520" w:lineRule="exact"/>
        <w:ind w:firstLine="560" w:firstLineChars="200"/>
        <w:jc w:val="left"/>
        <w:rPr>
          <w:rFonts w:hint="eastAsia" w:ascii="宋体" w:hAnsi="宋体" w:eastAsia="宋体" w:cs="宋体"/>
          <w:sz w:val="28"/>
          <w:szCs w:val="28"/>
          <w14:ligatures w14:val="none"/>
        </w:rPr>
      </w:pPr>
      <w:r>
        <w:rPr>
          <w:rFonts w:hint="eastAsia" w:ascii="宋体" w:hAnsi="宋体" w:eastAsia="宋体" w:cs="宋体"/>
          <w:sz w:val="28"/>
          <w:szCs w:val="28"/>
          <w14:ligatures w14:val="none"/>
        </w:rPr>
        <w:t>2.受让（承租）方在签订《成交确认书》后</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出租方</w:t>
      </w:r>
      <w:r>
        <w:rPr>
          <w:rFonts w:hint="eastAsia" w:ascii="宋体" w:hAnsi="宋体" w:eastAsia="宋体" w:cs="宋体"/>
          <w:sz w:val="28"/>
          <w:szCs w:val="28"/>
          <w14:ligatures w14:val="none"/>
        </w:rPr>
        <w:t>应按照约定向广州农交所支付交易服务费（服务费收取不因合同执行情况发生改变）。</w:t>
      </w:r>
    </w:p>
    <w:p w14:paraId="00ABF5B2">
      <w:pPr>
        <w:widowControl/>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14:ligatures w14:val="none"/>
        </w:rPr>
        <w:t>3.受让（承租）方在应在交易结果公示结束后3个工作日内签订《租赁合同》前，按约定履行支付相关款项等义务。</w:t>
      </w:r>
    </w:p>
    <w:p w14:paraId="1EC3368A">
      <w:pPr>
        <w:spacing w:line="520" w:lineRule="exact"/>
        <w:ind w:left="630"/>
        <w:rPr>
          <w:rFonts w:hint="eastAsia" w:ascii="宋体" w:hAnsi="宋体" w:eastAsia="宋体" w:cs="宋体"/>
          <w:b/>
          <w:bCs/>
          <w:sz w:val="28"/>
          <w:szCs w:val="28"/>
          <w14:ligatures w14:val="none"/>
        </w:rPr>
      </w:pPr>
      <w:r>
        <w:rPr>
          <w:rFonts w:hint="eastAsia" w:ascii="宋体" w:hAnsi="宋体" w:eastAsia="宋体" w:cs="宋体"/>
          <w:b/>
          <w:bCs/>
          <w:sz w:val="28"/>
          <w:szCs w:val="28"/>
          <w14:ligatures w14:val="none"/>
        </w:rPr>
        <w:t>七、交易服务费</w:t>
      </w:r>
    </w:p>
    <w:p w14:paraId="552F39B6">
      <w:pPr>
        <w:spacing w:line="720" w:lineRule="auto"/>
        <w:ind w:firstLine="280" w:firstLineChars="100"/>
        <w:rPr>
          <w:rFonts w:hint="eastAsia" w:ascii="宋体" w:hAnsi="宋体" w:eastAsia="宋体" w:cs="宋体"/>
          <w:kern w:val="0"/>
          <w:sz w:val="28"/>
          <w:szCs w:val="28"/>
        </w:rPr>
      </w:pPr>
      <w:r>
        <w:rPr>
          <w:rFonts w:hint="eastAsia" w:ascii="宋体" w:hAnsi="宋体" w:eastAsia="宋体" w:cs="宋体"/>
          <w:sz w:val="28"/>
          <w:szCs w:val="28"/>
          <w14:ligatures w14:val="none"/>
        </w:rPr>
        <w:t>（一）</w:t>
      </w:r>
      <w:r>
        <w:rPr>
          <w:rFonts w:hint="eastAsia" w:ascii="宋体" w:hAnsi="宋体" w:eastAsia="宋体" w:cs="宋体"/>
          <w:kern w:val="0"/>
          <w:sz w:val="28"/>
          <w:szCs w:val="28"/>
        </w:rPr>
        <w:t>物业出租服务费收费标准如下：</w:t>
      </w:r>
    </w:p>
    <w:tbl>
      <w:tblPr>
        <w:tblStyle w:val="7"/>
        <w:tblW w:w="8926" w:type="dxa"/>
        <w:jc w:val="center"/>
        <w:tblLayout w:type="autofit"/>
        <w:tblCellMar>
          <w:top w:w="0" w:type="dxa"/>
          <w:left w:w="108" w:type="dxa"/>
          <w:bottom w:w="0" w:type="dxa"/>
          <w:right w:w="108" w:type="dxa"/>
        </w:tblCellMar>
      </w:tblPr>
      <w:tblGrid>
        <w:gridCol w:w="4819"/>
        <w:gridCol w:w="1560"/>
        <w:gridCol w:w="2547"/>
      </w:tblGrid>
      <w:tr w14:paraId="05EBF9BC">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FC5CE11">
            <w:pPr>
              <w:widowControl/>
              <w:spacing w:line="72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交易成交额</w:t>
            </w:r>
          </w:p>
        </w:tc>
        <w:tc>
          <w:tcPr>
            <w:tcW w:w="1560" w:type="dxa"/>
            <w:tcBorders>
              <w:top w:val="single" w:color="auto" w:sz="4" w:space="0"/>
              <w:left w:val="nil"/>
              <w:bottom w:val="single" w:color="auto" w:sz="4" w:space="0"/>
              <w:right w:val="single" w:color="auto" w:sz="4" w:space="0"/>
            </w:tcBorders>
            <w:noWrap/>
            <w:vAlign w:val="bottom"/>
          </w:tcPr>
          <w:p w14:paraId="327F1893">
            <w:pPr>
              <w:widowControl/>
              <w:spacing w:line="72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计费费率</w:t>
            </w:r>
          </w:p>
        </w:tc>
        <w:tc>
          <w:tcPr>
            <w:tcW w:w="2547" w:type="dxa"/>
            <w:tcBorders>
              <w:top w:val="single" w:color="auto" w:sz="4" w:space="0"/>
              <w:left w:val="nil"/>
              <w:bottom w:val="single" w:color="auto" w:sz="4" w:space="0"/>
              <w:right w:val="single" w:color="auto" w:sz="4" w:space="0"/>
            </w:tcBorders>
            <w:noWrap/>
            <w:vAlign w:val="bottom"/>
          </w:tcPr>
          <w:p w14:paraId="50DE944C">
            <w:pPr>
              <w:widowControl/>
              <w:spacing w:line="72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6FC01B93">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48D857C5">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10万元以下（含10万元）</w:t>
            </w:r>
          </w:p>
        </w:tc>
        <w:tc>
          <w:tcPr>
            <w:tcW w:w="1560" w:type="dxa"/>
            <w:tcBorders>
              <w:top w:val="single" w:color="auto" w:sz="4" w:space="0"/>
              <w:left w:val="nil"/>
              <w:bottom w:val="single" w:color="auto" w:sz="4" w:space="0"/>
              <w:right w:val="single" w:color="auto" w:sz="4" w:space="0"/>
            </w:tcBorders>
            <w:noWrap/>
            <w:vAlign w:val="bottom"/>
          </w:tcPr>
          <w:p w14:paraId="2EABFC6E">
            <w:pPr>
              <w:spacing w:line="720" w:lineRule="auto"/>
              <w:jc w:val="center"/>
              <w:rPr>
                <w:rFonts w:hint="eastAsia" w:ascii="宋体" w:hAnsi="宋体" w:eastAsia="宋体" w:cs="宋体"/>
                <w:sz w:val="28"/>
                <w:szCs w:val="28"/>
              </w:rPr>
            </w:pPr>
            <w:r>
              <w:rPr>
                <w:rFonts w:hint="eastAsia" w:ascii="宋体" w:hAnsi="宋体" w:eastAsia="宋体" w:cs="宋体"/>
                <w:sz w:val="28"/>
                <w:szCs w:val="28"/>
              </w:rPr>
              <w:t>1.2%</w:t>
            </w:r>
          </w:p>
        </w:tc>
        <w:tc>
          <w:tcPr>
            <w:tcW w:w="2547" w:type="dxa"/>
            <w:vMerge w:val="restart"/>
            <w:tcBorders>
              <w:top w:val="single" w:color="auto" w:sz="4" w:space="0"/>
              <w:left w:val="single" w:color="auto" w:sz="4" w:space="0"/>
              <w:right w:val="single" w:color="auto" w:sz="4" w:space="0"/>
            </w:tcBorders>
            <w:vAlign w:val="center"/>
          </w:tcPr>
          <w:p w14:paraId="16FFD5F7">
            <w:pPr>
              <w:widowControl/>
              <w:spacing w:line="720" w:lineRule="auto"/>
              <w:jc w:val="center"/>
              <w:rPr>
                <w:rFonts w:hint="eastAsia" w:ascii="宋体" w:hAnsi="宋体" w:eastAsia="宋体" w:cs="宋体"/>
                <w:kern w:val="0"/>
                <w:sz w:val="28"/>
                <w:szCs w:val="28"/>
              </w:rPr>
            </w:pPr>
            <w:bookmarkStart w:id="7" w:name="_GoBack"/>
            <w:r>
              <w:rPr>
                <w:rFonts w:hint="eastAsia" w:ascii="宋体" w:hAnsi="宋体" w:eastAsia="宋体" w:cs="宋体"/>
                <w:kern w:val="0"/>
                <w:sz w:val="28"/>
                <w:szCs w:val="28"/>
              </w:rPr>
              <w:t>交易服务费根据合同总金额采用差额递减累进方式计算向</w:t>
            </w:r>
            <w:r>
              <w:rPr>
                <w:rFonts w:hint="eastAsia" w:ascii="宋体" w:hAnsi="宋体" w:eastAsia="宋体" w:cs="宋体"/>
                <w:kern w:val="0"/>
                <w:sz w:val="28"/>
                <w:szCs w:val="28"/>
                <w:lang w:val="en-US" w:eastAsia="zh-CN"/>
              </w:rPr>
              <w:t>出租方</w:t>
            </w:r>
            <w:bookmarkEnd w:id="7"/>
            <w:r>
              <w:rPr>
                <w:rFonts w:hint="eastAsia" w:ascii="宋体" w:hAnsi="宋体" w:eastAsia="宋体" w:cs="宋体"/>
                <w:kern w:val="0"/>
                <w:sz w:val="28"/>
                <w:szCs w:val="28"/>
              </w:rPr>
              <w:t>收取</w:t>
            </w:r>
          </w:p>
        </w:tc>
      </w:tr>
      <w:tr w14:paraId="5791AA76">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37EED51B">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10万元以上-50万元（含）部分</w:t>
            </w:r>
          </w:p>
        </w:tc>
        <w:tc>
          <w:tcPr>
            <w:tcW w:w="1560" w:type="dxa"/>
            <w:tcBorders>
              <w:top w:val="single" w:color="auto" w:sz="4" w:space="0"/>
              <w:left w:val="nil"/>
              <w:bottom w:val="single" w:color="auto" w:sz="4" w:space="0"/>
              <w:right w:val="single" w:color="auto" w:sz="4" w:space="0"/>
            </w:tcBorders>
            <w:noWrap/>
            <w:vAlign w:val="bottom"/>
          </w:tcPr>
          <w:p w14:paraId="60724CA4">
            <w:pPr>
              <w:spacing w:line="72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2547" w:type="dxa"/>
            <w:vMerge w:val="continue"/>
            <w:tcBorders>
              <w:left w:val="single" w:color="auto" w:sz="4" w:space="0"/>
              <w:right w:val="single" w:color="auto" w:sz="4" w:space="0"/>
            </w:tcBorders>
            <w:vAlign w:val="center"/>
          </w:tcPr>
          <w:p w14:paraId="1BF315A2">
            <w:pPr>
              <w:widowControl/>
              <w:spacing w:line="720" w:lineRule="auto"/>
              <w:jc w:val="left"/>
              <w:rPr>
                <w:rFonts w:hint="eastAsia" w:ascii="宋体" w:hAnsi="宋体" w:eastAsia="宋体" w:cs="宋体"/>
                <w:kern w:val="0"/>
                <w:sz w:val="28"/>
                <w:szCs w:val="28"/>
              </w:rPr>
            </w:pPr>
          </w:p>
        </w:tc>
      </w:tr>
      <w:tr w14:paraId="631CDAD0">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A455D11">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50万元部分-100万元（含）部分</w:t>
            </w:r>
          </w:p>
        </w:tc>
        <w:tc>
          <w:tcPr>
            <w:tcW w:w="1560" w:type="dxa"/>
            <w:tcBorders>
              <w:top w:val="single" w:color="auto" w:sz="4" w:space="0"/>
              <w:left w:val="nil"/>
              <w:bottom w:val="single" w:color="auto" w:sz="4" w:space="0"/>
              <w:right w:val="single" w:color="auto" w:sz="4" w:space="0"/>
            </w:tcBorders>
            <w:noWrap/>
            <w:vAlign w:val="bottom"/>
          </w:tcPr>
          <w:p w14:paraId="221013BE">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0.8%</w:t>
            </w:r>
          </w:p>
        </w:tc>
        <w:tc>
          <w:tcPr>
            <w:tcW w:w="2547" w:type="dxa"/>
            <w:vMerge w:val="continue"/>
            <w:tcBorders>
              <w:left w:val="single" w:color="auto" w:sz="4" w:space="0"/>
              <w:right w:val="single" w:color="auto" w:sz="4" w:space="0"/>
            </w:tcBorders>
            <w:vAlign w:val="center"/>
          </w:tcPr>
          <w:p w14:paraId="5DD22D33">
            <w:pPr>
              <w:widowControl/>
              <w:spacing w:line="720" w:lineRule="auto"/>
              <w:jc w:val="left"/>
              <w:rPr>
                <w:rFonts w:hint="eastAsia" w:ascii="宋体" w:hAnsi="宋体" w:eastAsia="宋体" w:cs="宋体"/>
                <w:kern w:val="0"/>
                <w:sz w:val="28"/>
                <w:szCs w:val="28"/>
              </w:rPr>
            </w:pPr>
          </w:p>
        </w:tc>
      </w:tr>
      <w:tr w14:paraId="412DA76A">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65033CDF">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100万元以上-500万元（含）部分</w:t>
            </w:r>
          </w:p>
        </w:tc>
        <w:tc>
          <w:tcPr>
            <w:tcW w:w="1560" w:type="dxa"/>
            <w:tcBorders>
              <w:top w:val="single" w:color="auto" w:sz="4" w:space="0"/>
              <w:left w:val="nil"/>
              <w:bottom w:val="single" w:color="auto" w:sz="4" w:space="0"/>
              <w:right w:val="single" w:color="auto" w:sz="4" w:space="0"/>
            </w:tcBorders>
            <w:noWrap/>
            <w:vAlign w:val="bottom"/>
          </w:tcPr>
          <w:p w14:paraId="484312A6">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0.6%</w:t>
            </w:r>
          </w:p>
        </w:tc>
        <w:tc>
          <w:tcPr>
            <w:tcW w:w="2547" w:type="dxa"/>
            <w:vMerge w:val="continue"/>
            <w:tcBorders>
              <w:left w:val="single" w:color="auto" w:sz="4" w:space="0"/>
              <w:right w:val="single" w:color="auto" w:sz="4" w:space="0"/>
            </w:tcBorders>
            <w:vAlign w:val="center"/>
          </w:tcPr>
          <w:p w14:paraId="502F49C3">
            <w:pPr>
              <w:widowControl/>
              <w:spacing w:line="720" w:lineRule="auto"/>
              <w:jc w:val="left"/>
              <w:rPr>
                <w:rFonts w:hint="eastAsia" w:ascii="宋体" w:hAnsi="宋体" w:eastAsia="宋体" w:cs="宋体"/>
                <w:kern w:val="0"/>
                <w:sz w:val="28"/>
                <w:szCs w:val="28"/>
              </w:rPr>
            </w:pPr>
          </w:p>
        </w:tc>
      </w:tr>
      <w:tr w14:paraId="3B44D13E">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F7C64BA">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500万元以上-1000万元（含）部分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3230F788">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0.4%</w:t>
            </w:r>
          </w:p>
        </w:tc>
        <w:tc>
          <w:tcPr>
            <w:tcW w:w="2547" w:type="dxa"/>
            <w:vMerge w:val="continue"/>
            <w:tcBorders>
              <w:left w:val="single" w:color="auto" w:sz="4" w:space="0"/>
              <w:right w:val="single" w:color="auto" w:sz="4" w:space="0"/>
            </w:tcBorders>
            <w:vAlign w:val="center"/>
          </w:tcPr>
          <w:p w14:paraId="1B94EC95">
            <w:pPr>
              <w:widowControl/>
              <w:spacing w:line="720" w:lineRule="auto"/>
              <w:jc w:val="left"/>
              <w:rPr>
                <w:rFonts w:hint="eastAsia" w:ascii="宋体" w:hAnsi="宋体" w:eastAsia="宋体" w:cs="宋体"/>
                <w:kern w:val="0"/>
                <w:sz w:val="28"/>
                <w:szCs w:val="28"/>
              </w:rPr>
            </w:pPr>
          </w:p>
        </w:tc>
      </w:tr>
      <w:tr w14:paraId="2D647A67">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5A1C0B71">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1000万元以上-5000万元（含）部分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00EFD8AE">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0.2%</w:t>
            </w:r>
          </w:p>
        </w:tc>
        <w:tc>
          <w:tcPr>
            <w:tcW w:w="2547" w:type="dxa"/>
            <w:vMerge w:val="continue"/>
            <w:tcBorders>
              <w:left w:val="single" w:color="auto" w:sz="4" w:space="0"/>
              <w:right w:val="single" w:color="auto" w:sz="4" w:space="0"/>
            </w:tcBorders>
            <w:vAlign w:val="center"/>
          </w:tcPr>
          <w:p w14:paraId="0C582A89">
            <w:pPr>
              <w:widowControl/>
              <w:spacing w:line="720" w:lineRule="auto"/>
              <w:jc w:val="left"/>
              <w:rPr>
                <w:rFonts w:hint="eastAsia" w:ascii="宋体" w:hAnsi="宋体" w:eastAsia="宋体" w:cs="宋体"/>
                <w:kern w:val="0"/>
                <w:sz w:val="28"/>
                <w:szCs w:val="28"/>
              </w:rPr>
            </w:pPr>
          </w:p>
        </w:tc>
      </w:tr>
      <w:tr w14:paraId="0B851E5A">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2B87BFA">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5000万元以上-1亿元（含）部分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7A78EAA4">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0.1%</w:t>
            </w:r>
          </w:p>
        </w:tc>
        <w:tc>
          <w:tcPr>
            <w:tcW w:w="2547" w:type="dxa"/>
            <w:vMerge w:val="continue"/>
            <w:tcBorders>
              <w:left w:val="single" w:color="auto" w:sz="4" w:space="0"/>
              <w:right w:val="single" w:color="auto" w:sz="4" w:space="0"/>
            </w:tcBorders>
            <w:vAlign w:val="center"/>
          </w:tcPr>
          <w:p w14:paraId="0BCE7C59">
            <w:pPr>
              <w:widowControl/>
              <w:spacing w:line="720" w:lineRule="auto"/>
              <w:jc w:val="left"/>
              <w:rPr>
                <w:rFonts w:hint="eastAsia" w:ascii="宋体" w:hAnsi="宋体" w:eastAsia="宋体" w:cs="宋体"/>
                <w:kern w:val="0"/>
                <w:sz w:val="28"/>
                <w:szCs w:val="28"/>
              </w:rPr>
            </w:pPr>
          </w:p>
        </w:tc>
      </w:tr>
      <w:tr w14:paraId="10C14DC3">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0CEA2922">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1亿元以上-10亿元（含）部分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0E38A6F1">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0.08%</w:t>
            </w:r>
          </w:p>
        </w:tc>
        <w:tc>
          <w:tcPr>
            <w:tcW w:w="2547" w:type="dxa"/>
            <w:vMerge w:val="continue"/>
            <w:tcBorders>
              <w:left w:val="single" w:color="auto" w:sz="4" w:space="0"/>
              <w:right w:val="single" w:color="auto" w:sz="4" w:space="0"/>
            </w:tcBorders>
            <w:vAlign w:val="center"/>
          </w:tcPr>
          <w:p w14:paraId="2E6917C3">
            <w:pPr>
              <w:widowControl/>
              <w:spacing w:line="720" w:lineRule="auto"/>
              <w:jc w:val="left"/>
              <w:rPr>
                <w:rFonts w:hint="eastAsia" w:ascii="宋体" w:hAnsi="宋体" w:eastAsia="宋体" w:cs="宋体"/>
                <w:kern w:val="0"/>
                <w:sz w:val="28"/>
                <w:szCs w:val="28"/>
              </w:rPr>
            </w:pPr>
          </w:p>
        </w:tc>
      </w:tr>
      <w:tr w14:paraId="7679788F">
        <w:tblPrEx>
          <w:tblCellMar>
            <w:top w:w="0" w:type="dxa"/>
            <w:left w:w="108" w:type="dxa"/>
            <w:bottom w:w="0" w:type="dxa"/>
            <w:right w:w="108" w:type="dxa"/>
          </w:tblCellMar>
        </w:tblPrEx>
        <w:trPr>
          <w:trHeight w:val="907" w:hRule="exact"/>
          <w:jc w:val="center"/>
        </w:trPr>
        <w:tc>
          <w:tcPr>
            <w:tcW w:w="4819" w:type="dxa"/>
            <w:tcBorders>
              <w:top w:val="single" w:color="auto" w:sz="4" w:space="0"/>
              <w:left w:val="single" w:color="auto" w:sz="4" w:space="0"/>
              <w:bottom w:val="single" w:color="auto" w:sz="4" w:space="0"/>
              <w:right w:val="single" w:color="auto" w:sz="4" w:space="0"/>
            </w:tcBorders>
            <w:noWrap/>
            <w:vAlign w:val="bottom"/>
          </w:tcPr>
          <w:p w14:paraId="62D0F4F9">
            <w:pPr>
              <w:widowControl/>
              <w:spacing w:line="72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10亿元以上-50亿元（含）部分</w:t>
            </w:r>
          </w:p>
        </w:tc>
        <w:tc>
          <w:tcPr>
            <w:tcW w:w="1560" w:type="dxa"/>
            <w:tcBorders>
              <w:top w:val="single" w:color="auto" w:sz="4" w:space="0"/>
              <w:left w:val="single" w:color="auto" w:sz="4" w:space="0"/>
              <w:bottom w:val="single" w:color="auto" w:sz="4" w:space="0"/>
              <w:right w:val="single" w:color="auto" w:sz="4" w:space="0"/>
            </w:tcBorders>
            <w:noWrap/>
            <w:vAlign w:val="bottom"/>
          </w:tcPr>
          <w:p w14:paraId="0552EB13">
            <w:pPr>
              <w:spacing w:line="720" w:lineRule="auto"/>
              <w:jc w:val="center"/>
              <w:rPr>
                <w:rFonts w:hint="eastAsia" w:ascii="宋体" w:hAnsi="宋体" w:eastAsia="宋体" w:cs="宋体"/>
                <w:sz w:val="28"/>
                <w:szCs w:val="28"/>
              </w:rPr>
            </w:pPr>
            <w:r>
              <w:rPr>
                <w:rFonts w:hint="eastAsia" w:ascii="宋体" w:hAnsi="宋体" w:eastAsia="宋体" w:cs="宋体"/>
                <w:sz w:val="28"/>
                <w:szCs w:val="28"/>
              </w:rPr>
              <w:t>0.06%</w:t>
            </w:r>
          </w:p>
        </w:tc>
        <w:tc>
          <w:tcPr>
            <w:tcW w:w="2547" w:type="dxa"/>
            <w:vMerge w:val="continue"/>
            <w:tcBorders>
              <w:left w:val="single" w:color="auto" w:sz="4" w:space="0"/>
              <w:bottom w:val="single" w:color="auto" w:sz="4" w:space="0"/>
              <w:right w:val="single" w:color="auto" w:sz="4" w:space="0"/>
            </w:tcBorders>
            <w:vAlign w:val="center"/>
          </w:tcPr>
          <w:p w14:paraId="5910D99E">
            <w:pPr>
              <w:widowControl/>
              <w:spacing w:line="720" w:lineRule="auto"/>
              <w:jc w:val="left"/>
              <w:rPr>
                <w:rFonts w:hint="eastAsia" w:ascii="宋体" w:hAnsi="宋体" w:eastAsia="宋体" w:cs="宋体"/>
                <w:kern w:val="0"/>
                <w:sz w:val="28"/>
                <w:szCs w:val="28"/>
              </w:rPr>
            </w:pPr>
          </w:p>
        </w:tc>
      </w:tr>
    </w:tbl>
    <w:p w14:paraId="421007B3">
      <w:pPr>
        <w:spacing w:line="520" w:lineRule="exact"/>
        <w:ind w:firstLine="560" w:firstLineChars="200"/>
        <w:rPr>
          <w:rFonts w:hint="eastAsia" w:ascii="宋体" w:hAnsi="宋体" w:eastAsia="宋体" w:cs="宋体"/>
          <w:color w:val="7030A0"/>
          <w:sz w:val="28"/>
          <w:szCs w:val="28"/>
          <w14:ligatures w14:val="none"/>
        </w:rPr>
      </w:pPr>
      <w:r>
        <w:rPr>
          <w:rFonts w:hint="eastAsia" w:ascii="宋体" w:hAnsi="宋体" w:eastAsia="宋体" w:cs="宋体"/>
          <w:kern w:val="0"/>
          <w:sz w:val="28"/>
          <w:szCs w:val="28"/>
        </w:rPr>
        <w:t>注：超过20亿部分不收取费用，单个项目最低收费600元。</w:t>
      </w:r>
    </w:p>
    <w:p w14:paraId="7C044760">
      <w:pPr>
        <w:spacing w:line="5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（二）受让（承租）方在签署《成交确认书》后3个工作日内，交易服务费由</w:t>
      </w:r>
      <w:r>
        <w:rPr>
          <w:rFonts w:hint="eastAsia" w:ascii="宋体" w:hAnsi="宋体" w:eastAsia="宋体" w:cs="宋体"/>
          <w:kern w:val="0"/>
          <w:sz w:val="28"/>
          <w:szCs w:val="28"/>
          <w:lang w:val="en-US" w:eastAsia="zh-CN"/>
        </w:rPr>
        <w:t>出租方向</w:t>
      </w:r>
      <w:r>
        <w:rPr>
          <w:rFonts w:hint="eastAsia" w:ascii="宋体" w:hAnsi="宋体" w:eastAsia="宋体" w:cs="宋体"/>
          <w:kern w:val="0"/>
          <w:sz w:val="28"/>
          <w:szCs w:val="28"/>
        </w:rPr>
        <w:t>广州农交所</w:t>
      </w:r>
      <w:r>
        <w:rPr>
          <w:rFonts w:hint="eastAsia" w:ascii="宋体" w:hAnsi="宋体" w:eastAsia="宋体" w:cs="宋体"/>
          <w:kern w:val="0"/>
          <w:sz w:val="28"/>
          <w:szCs w:val="28"/>
          <w:lang w:val="en-US" w:eastAsia="zh-CN"/>
        </w:rPr>
        <w:t>支付</w:t>
      </w:r>
      <w:r>
        <w:rPr>
          <w:rFonts w:hint="eastAsia" w:ascii="宋体" w:hAnsi="宋体" w:eastAsia="宋体" w:cs="宋体"/>
          <w:kern w:val="0"/>
          <w:sz w:val="28"/>
          <w:szCs w:val="28"/>
        </w:rPr>
        <w:t>。</w:t>
      </w:r>
    </w:p>
    <w:p w14:paraId="4B33168D">
      <w:pPr>
        <w:spacing w:line="520" w:lineRule="exact"/>
        <w:ind w:firstLine="562" w:firstLineChars="200"/>
        <w:rPr>
          <w:rFonts w:hint="eastAsia" w:ascii="宋体" w:hAnsi="宋体" w:eastAsia="宋体" w:cs="宋体"/>
          <w:b/>
          <w:bCs/>
          <w:sz w:val="28"/>
          <w:szCs w:val="28"/>
          <w14:ligatures w14:val="none"/>
        </w:rPr>
      </w:pPr>
      <w:r>
        <w:rPr>
          <w:rFonts w:hint="eastAsia" w:ascii="宋体" w:hAnsi="宋体" w:eastAsia="宋体" w:cs="宋体"/>
          <w:b/>
          <w:bCs/>
          <w:sz w:val="28"/>
          <w:szCs w:val="28"/>
          <w14:ligatures w14:val="none"/>
        </w:rPr>
        <w:t>八、联系方式：</w:t>
      </w:r>
    </w:p>
    <w:p w14:paraId="75E57EE1">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广州农村产权交易所有限公司</w:t>
      </w:r>
    </w:p>
    <w:p w14:paraId="42BBD2DD">
      <w:pPr>
        <w:spacing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郑程文、叶泽鑫</w:t>
      </w:r>
    </w:p>
    <w:p w14:paraId="004179E6">
      <w:pPr>
        <w:spacing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电话：020-89160</w:t>
      </w:r>
      <w:r>
        <w:rPr>
          <w:rFonts w:hint="eastAsia" w:ascii="宋体" w:hAnsi="宋体" w:eastAsia="宋体" w:cs="宋体"/>
          <w:sz w:val="28"/>
          <w:szCs w:val="28"/>
          <w:lang w:val="en-US" w:eastAsia="zh-CN"/>
        </w:rPr>
        <w:t>538、020-89160904</w:t>
      </w:r>
    </w:p>
    <w:p w14:paraId="3E2938B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14:ligatures w14:val="none"/>
        </w:rPr>
        <w:t>地址：广州市越秀区流花路123号越秀国际会议中心北塔9楼</w:t>
      </w:r>
    </w:p>
    <w:p w14:paraId="327FCD97">
      <w:pPr>
        <w:spacing w:line="520" w:lineRule="exact"/>
        <w:ind w:firstLine="560" w:firstLineChars="200"/>
        <w:rPr>
          <w:rFonts w:hint="eastAsia" w:ascii="宋体" w:hAnsi="宋体" w:eastAsia="宋体" w:cs="宋体"/>
          <w:sz w:val="28"/>
          <w:szCs w:val="28"/>
          <w14:ligatures w14:val="none"/>
        </w:rPr>
      </w:pPr>
    </w:p>
    <w:p w14:paraId="22953464">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项目业主单位</w:t>
      </w:r>
      <w:r>
        <w:rPr>
          <w:rFonts w:hint="eastAsia" w:ascii="宋体" w:hAnsi="宋体" w:eastAsia="宋体" w:cs="宋体"/>
          <w:sz w:val="28"/>
          <w:szCs w:val="28"/>
          <w:lang w:eastAsia="zh-CN"/>
          <w14:ligatures w14:val="none"/>
        </w:rPr>
        <w:t>：广州市南沙区东涌镇</w:t>
      </w:r>
      <w:r>
        <w:rPr>
          <w:rFonts w:hint="eastAsia" w:ascii="宋体" w:hAnsi="宋体" w:eastAsia="宋体" w:cs="宋体"/>
          <w:sz w:val="28"/>
          <w:szCs w:val="28"/>
          <w:lang w:val="en-US" w:eastAsia="zh-CN"/>
          <w14:ligatures w14:val="none"/>
        </w:rPr>
        <w:t>石基</w:t>
      </w:r>
      <w:r>
        <w:rPr>
          <w:rFonts w:hint="eastAsia" w:ascii="宋体" w:hAnsi="宋体" w:eastAsia="宋体" w:cs="宋体"/>
          <w:sz w:val="28"/>
          <w:szCs w:val="28"/>
          <w:lang w:eastAsia="zh-CN"/>
          <w14:ligatures w14:val="none"/>
        </w:rPr>
        <w:t>股份合作经济联合社</w:t>
      </w:r>
      <w:r>
        <w:rPr>
          <w:rFonts w:hint="eastAsia" w:ascii="宋体" w:hAnsi="宋体" w:eastAsia="宋体" w:cs="宋体"/>
          <w:sz w:val="28"/>
          <w:szCs w:val="28"/>
          <w14:ligatures w14:val="none"/>
        </w:rPr>
        <w:t xml:space="preserve"> </w:t>
      </w:r>
    </w:p>
    <w:p w14:paraId="530D72E4">
      <w:pPr>
        <w:spacing w:line="520" w:lineRule="exact"/>
        <w:ind w:firstLine="560" w:firstLineChars="200"/>
        <w:rPr>
          <w:rFonts w:hint="eastAsia" w:ascii="宋体" w:hAnsi="宋体" w:eastAsia="宋体" w:cs="宋体"/>
          <w:sz w:val="28"/>
          <w:szCs w:val="28"/>
          <w:lang w:val="en-US" w:eastAsia="zh-CN"/>
          <w14:ligatures w14:val="none"/>
        </w:rPr>
      </w:pPr>
      <w:r>
        <w:rPr>
          <w:rFonts w:hint="eastAsia" w:ascii="宋体" w:hAnsi="宋体" w:eastAsia="宋体" w:cs="宋体"/>
          <w:sz w:val="28"/>
          <w:szCs w:val="28"/>
          <w14:ligatures w14:val="none"/>
        </w:rPr>
        <w:t>联系人</w:t>
      </w:r>
      <w:r>
        <w:rPr>
          <w:rFonts w:hint="eastAsia" w:ascii="宋体" w:hAnsi="宋体" w:eastAsia="宋体" w:cs="宋体"/>
          <w:sz w:val="28"/>
          <w:szCs w:val="28"/>
          <w:lang w:eastAsia="zh-CN"/>
          <w14:ligatures w14:val="none"/>
        </w:rPr>
        <w:t>：</w:t>
      </w:r>
      <w:r>
        <w:rPr>
          <w:rFonts w:hint="eastAsia" w:ascii="宋体" w:hAnsi="宋体" w:eastAsia="宋体" w:cs="宋体"/>
          <w:b w:val="0"/>
          <w:bCs/>
          <w:color w:val="auto"/>
          <w:sz w:val="28"/>
          <w:szCs w:val="28"/>
          <w:highlight w:val="none"/>
          <w:u w:val="single"/>
        </w:rPr>
        <w:t>彭兆文</w:t>
      </w:r>
      <w:r>
        <w:rPr>
          <w:rFonts w:hint="eastAsia" w:ascii="宋体" w:hAnsi="宋体" w:eastAsia="宋体" w:cs="宋体"/>
          <w:sz w:val="28"/>
          <w:szCs w:val="28"/>
          <w:lang w:val="en-US" w:eastAsia="zh-CN"/>
          <w14:ligatures w14:val="none"/>
        </w:rPr>
        <w:t xml:space="preserve">  </w:t>
      </w:r>
    </w:p>
    <w:p w14:paraId="3EF2C6CD">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联系电话</w:t>
      </w:r>
      <w:r>
        <w:rPr>
          <w:rFonts w:hint="eastAsia" w:ascii="宋体" w:hAnsi="宋体" w:eastAsia="宋体" w:cs="宋体"/>
          <w:sz w:val="28"/>
          <w:szCs w:val="28"/>
          <w:lang w:val="en-US" w:eastAsia="zh-CN"/>
          <w14:ligatures w14:val="none"/>
        </w:rPr>
        <w:t xml:space="preserve">： </w:t>
      </w:r>
      <w:r>
        <w:rPr>
          <w:rFonts w:hint="eastAsia" w:ascii="宋体" w:hAnsi="宋体" w:eastAsia="宋体" w:cs="宋体"/>
          <w:b w:val="0"/>
          <w:bCs/>
          <w:color w:val="auto"/>
          <w:sz w:val="28"/>
          <w:szCs w:val="28"/>
          <w:highlight w:val="none"/>
          <w:u w:val="single"/>
        </w:rPr>
        <w:t>020-84905140</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sz w:val="28"/>
          <w:szCs w:val="28"/>
          <w:lang w:val="en-US" w:eastAsia="zh-CN"/>
          <w14:ligatures w14:val="none"/>
        </w:rPr>
        <w:t xml:space="preserve">  </w:t>
      </w:r>
      <w:r>
        <w:rPr>
          <w:rFonts w:hint="eastAsia" w:ascii="宋体" w:hAnsi="宋体" w:eastAsia="宋体" w:cs="宋体"/>
          <w:sz w:val="28"/>
          <w:szCs w:val="28"/>
          <w14:ligatures w14:val="none"/>
        </w:rPr>
        <w:t xml:space="preserve">              </w:t>
      </w:r>
    </w:p>
    <w:p w14:paraId="340E9146">
      <w:pPr>
        <w:spacing w:line="520" w:lineRule="exact"/>
        <w:ind w:firstLine="560" w:firstLineChars="200"/>
        <w:rPr>
          <w:rFonts w:hint="eastAsia" w:ascii="宋体" w:hAnsi="宋体" w:eastAsia="宋体" w:cs="宋体"/>
          <w:sz w:val="28"/>
          <w:szCs w:val="28"/>
          <w14:ligatures w14:val="none"/>
        </w:rPr>
      </w:pPr>
      <w:r>
        <w:rPr>
          <w:rFonts w:hint="eastAsia" w:ascii="宋体" w:hAnsi="宋体" w:eastAsia="宋体" w:cs="宋体"/>
          <w:sz w:val="28"/>
          <w:szCs w:val="28"/>
          <w14:ligatures w14:val="none"/>
        </w:rPr>
        <w:t>地址</w:t>
      </w:r>
      <w:r>
        <w:rPr>
          <w:rFonts w:hint="eastAsia" w:ascii="宋体" w:hAnsi="宋体" w:eastAsia="宋体" w:cs="宋体"/>
          <w:sz w:val="28"/>
          <w:szCs w:val="28"/>
          <w:lang w:eastAsia="zh-CN"/>
          <w14:ligatures w14:val="none"/>
        </w:rPr>
        <w:t>：</w:t>
      </w:r>
      <w:r>
        <w:rPr>
          <w:rFonts w:hint="eastAsia" w:ascii="宋体" w:hAnsi="宋体" w:eastAsia="宋体" w:cs="宋体"/>
          <w:b w:val="0"/>
          <w:bCs/>
          <w:color w:val="auto"/>
          <w:kern w:val="0"/>
          <w:sz w:val="28"/>
          <w:szCs w:val="28"/>
          <w:highlight w:val="none"/>
          <w:u w:val="single"/>
        </w:rPr>
        <w:t>广东省广州市南沙区东涌镇石基大道2号</w:t>
      </w:r>
      <w:r>
        <w:rPr>
          <w:rFonts w:hint="eastAsia" w:ascii="宋体" w:hAnsi="宋体" w:eastAsia="宋体" w:cs="宋体"/>
          <w:sz w:val="28"/>
          <w:szCs w:val="28"/>
          <w:lang w:val="en-US" w:eastAsia="zh-CN"/>
          <w14:ligatures w14:val="none"/>
        </w:rPr>
        <w:t xml:space="preserve">  </w:t>
      </w:r>
      <w:r>
        <w:rPr>
          <w:rFonts w:hint="eastAsia" w:ascii="宋体" w:hAnsi="宋体" w:eastAsia="宋体" w:cs="宋体"/>
          <w:sz w:val="28"/>
          <w:szCs w:val="28"/>
          <w14:ligatures w14:val="none"/>
        </w:rPr>
        <w:t xml:space="preserve">              </w:t>
      </w:r>
    </w:p>
    <w:p w14:paraId="73B4264A">
      <w:pPr>
        <w:spacing w:line="520" w:lineRule="exact"/>
        <w:ind w:firstLine="560" w:firstLineChars="200"/>
        <w:jc w:val="right"/>
        <w:rPr>
          <w:rFonts w:hint="eastAsia" w:ascii="宋体" w:hAnsi="宋体" w:eastAsia="宋体" w:cs="宋体"/>
          <w:sz w:val="28"/>
          <w:szCs w:val="28"/>
          <w14:ligatures w14:val="none"/>
        </w:rPr>
      </w:pPr>
      <w:r>
        <w:rPr>
          <w:rFonts w:hint="eastAsia" w:ascii="宋体" w:hAnsi="宋体" w:eastAsia="宋体" w:cs="宋体"/>
          <w:sz w:val="28"/>
          <w:szCs w:val="28"/>
          <w14:ligatures w14:val="none"/>
        </w:rPr>
        <w:t xml:space="preserve">                              </w:t>
      </w:r>
    </w:p>
    <w:p w14:paraId="7619683D">
      <w:pPr>
        <w:spacing w:line="520" w:lineRule="exact"/>
        <w:ind w:firstLine="560" w:firstLineChars="200"/>
        <w:jc w:val="right"/>
        <w:rPr>
          <w:rFonts w:hint="eastAsia" w:ascii="宋体" w:hAnsi="宋体" w:eastAsia="宋体" w:cs="宋体"/>
          <w:sz w:val="28"/>
          <w:szCs w:val="28"/>
          <w:lang w:val="en-US" w:eastAsia="zh-CN"/>
        </w:rPr>
      </w:pPr>
      <w:r>
        <w:rPr>
          <w:rFonts w:hint="eastAsia" w:ascii="宋体" w:hAnsi="宋体" w:eastAsia="宋体" w:cs="宋体"/>
          <w:sz w:val="28"/>
          <w:szCs w:val="28"/>
        </w:rPr>
        <w:t xml:space="preserve"> 2O2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14日</w:t>
      </w:r>
    </w:p>
    <w:p w14:paraId="59B7034E">
      <w:pPr>
        <w:pStyle w:val="6"/>
      </w:pPr>
    </w:p>
    <w:sectPr>
      <w:pgSz w:w="11906" w:h="16838"/>
      <w:pgMar w:top="144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lMWMyNjZlNzExNTkyYjgxNjQ4NDIwYTZhOGI2NTkifQ=="/>
  </w:docVars>
  <w:rsids>
    <w:rsidRoot w:val="00662F90"/>
    <w:rsid w:val="00004164"/>
    <w:rsid w:val="00014C45"/>
    <w:rsid w:val="00024EC6"/>
    <w:rsid w:val="00026CCD"/>
    <w:rsid w:val="00045B73"/>
    <w:rsid w:val="000501E2"/>
    <w:rsid w:val="000549C8"/>
    <w:rsid w:val="00062B94"/>
    <w:rsid w:val="000817A0"/>
    <w:rsid w:val="000A0DF6"/>
    <w:rsid w:val="000B52B7"/>
    <w:rsid w:val="0012037D"/>
    <w:rsid w:val="00123784"/>
    <w:rsid w:val="001257AF"/>
    <w:rsid w:val="00131CEE"/>
    <w:rsid w:val="0013735F"/>
    <w:rsid w:val="00142AA7"/>
    <w:rsid w:val="00144F18"/>
    <w:rsid w:val="00152D5A"/>
    <w:rsid w:val="00154DCA"/>
    <w:rsid w:val="00172F70"/>
    <w:rsid w:val="00176037"/>
    <w:rsid w:val="00176169"/>
    <w:rsid w:val="00184FC2"/>
    <w:rsid w:val="00187576"/>
    <w:rsid w:val="00197CA6"/>
    <w:rsid w:val="001A449A"/>
    <w:rsid w:val="001B43FC"/>
    <w:rsid w:val="001C4D79"/>
    <w:rsid w:val="001D55A9"/>
    <w:rsid w:val="001E5984"/>
    <w:rsid w:val="001E61D3"/>
    <w:rsid w:val="001F1CB8"/>
    <w:rsid w:val="00207F32"/>
    <w:rsid w:val="00214AB9"/>
    <w:rsid w:val="0024428A"/>
    <w:rsid w:val="00252BB0"/>
    <w:rsid w:val="002546ED"/>
    <w:rsid w:val="00256D19"/>
    <w:rsid w:val="00261FF1"/>
    <w:rsid w:val="00274181"/>
    <w:rsid w:val="00285016"/>
    <w:rsid w:val="002920A0"/>
    <w:rsid w:val="00294320"/>
    <w:rsid w:val="002A78E9"/>
    <w:rsid w:val="002F6A6D"/>
    <w:rsid w:val="00345B8F"/>
    <w:rsid w:val="00360EF2"/>
    <w:rsid w:val="003662F8"/>
    <w:rsid w:val="0037730F"/>
    <w:rsid w:val="0038669F"/>
    <w:rsid w:val="00387FB7"/>
    <w:rsid w:val="0039660A"/>
    <w:rsid w:val="003B5009"/>
    <w:rsid w:val="003B6198"/>
    <w:rsid w:val="003B6742"/>
    <w:rsid w:val="003C6640"/>
    <w:rsid w:val="003C7FAE"/>
    <w:rsid w:val="003D0A99"/>
    <w:rsid w:val="003F1AF3"/>
    <w:rsid w:val="003F664A"/>
    <w:rsid w:val="00406728"/>
    <w:rsid w:val="00410F0C"/>
    <w:rsid w:val="00420860"/>
    <w:rsid w:val="004216BC"/>
    <w:rsid w:val="00430C12"/>
    <w:rsid w:val="004324E6"/>
    <w:rsid w:val="00434930"/>
    <w:rsid w:val="00444635"/>
    <w:rsid w:val="0044751F"/>
    <w:rsid w:val="004539EB"/>
    <w:rsid w:val="00453E79"/>
    <w:rsid w:val="00454C14"/>
    <w:rsid w:val="00465CEE"/>
    <w:rsid w:val="00482244"/>
    <w:rsid w:val="004A5D37"/>
    <w:rsid w:val="004A5E83"/>
    <w:rsid w:val="004C63D8"/>
    <w:rsid w:val="004D6763"/>
    <w:rsid w:val="004E0FE5"/>
    <w:rsid w:val="004E2DEE"/>
    <w:rsid w:val="00511C83"/>
    <w:rsid w:val="00516398"/>
    <w:rsid w:val="005309F3"/>
    <w:rsid w:val="00533F9F"/>
    <w:rsid w:val="005402E9"/>
    <w:rsid w:val="00544C0C"/>
    <w:rsid w:val="00547A3B"/>
    <w:rsid w:val="00564D9B"/>
    <w:rsid w:val="005736AE"/>
    <w:rsid w:val="00573748"/>
    <w:rsid w:val="005823EC"/>
    <w:rsid w:val="00586E5D"/>
    <w:rsid w:val="00593272"/>
    <w:rsid w:val="005A21E7"/>
    <w:rsid w:val="005A2AA3"/>
    <w:rsid w:val="005B0F7A"/>
    <w:rsid w:val="005C3E82"/>
    <w:rsid w:val="005E2305"/>
    <w:rsid w:val="005F1D72"/>
    <w:rsid w:val="00614B5D"/>
    <w:rsid w:val="0066239E"/>
    <w:rsid w:val="00662F90"/>
    <w:rsid w:val="00663B74"/>
    <w:rsid w:val="00665EB0"/>
    <w:rsid w:val="0067534A"/>
    <w:rsid w:val="006951EC"/>
    <w:rsid w:val="006A17D6"/>
    <w:rsid w:val="006A297F"/>
    <w:rsid w:val="006B005F"/>
    <w:rsid w:val="006B37D1"/>
    <w:rsid w:val="006D23AC"/>
    <w:rsid w:val="006E76F2"/>
    <w:rsid w:val="006F3920"/>
    <w:rsid w:val="007228BF"/>
    <w:rsid w:val="0072329D"/>
    <w:rsid w:val="00727A75"/>
    <w:rsid w:val="00734D52"/>
    <w:rsid w:val="00737CA9"/>
    <w:rsid w:val="007468C3"/>
    <w:rsid w:val="0074755F"/>
    <w:rsid w:val="007518E7"/>
    <w:rsid w:val="007649F3"/>
    <w:rsid w:val="00782ADD"/>
    <w:rsid w:val="007834FA"/>
    <w:rsid w:val="00784520"/>
    <w:rsid w:val="007855E8"/>
    <w:rsid w:val="00795ABF"/>
    <w:rsid w:val="007A54BA"/>
    <w:rsid w:val="007A7574"/>
    <w:rsid w:val="007B17D3"/>
    <w:rsid w:val="007B6C1C"/>
    <w:rsid w:val="007D7A2B"/>
    <w:rsid w:val="007E39AF"/>
    <w:rsid w:val="007E6F1A"/>
    <w:rsid w:val="007F2D41"/>
    <w:rsid w:val="007F60DA"/>
    <w:rsid w:val="00811544"/>
    <w:rsid w:val="00836D0E"/>
    <w:rsid w:val="00840A87"/>
    <w:rsid w:val="00844C17"/>
    <w:rsid w:val="00847053"/>
    <w:rsid w:val="00863020"/>
    <w:rsid w:val="00865E86"/>
    <w:rsid w:val="00872D1C"/>
    <w:rsid w:val="0088388D"/>
    <w:rsid w:val="0088717D"/>
    <w:rsid w:val="008A26C1"/>
    <w:rsid w:val="008A28FA"/>
    <w:rsid w:val="008A315A"/>
    <w:rsid w:val="008D427C"/>
    <w:rsid w:val="008E103C"/>
    <w:rsid w:val="008F1A21"/>
    <w:rsid w:val="009104BE"/>
    <w:rsid w:val="00923B00"/>
    <w:rsid w:val="00942C9D"/>
    <w:rsid w:val="009548A1"/>
    <w:rsid w:val="00962CE3"/>
    <w:rsid w:val="00975C38"/>
    <w:rsid w:val="00987BD2"/>
    <w:rsid w:val="0099531F"/>
    <w:rsid w:val="00997C59"/>
    <w:rsid w:val="009C68FA"/>
    <w:rsid w:val="009D4F02"/>
    <w:rsid w:val="00A0486F"/>
    <w:rsid w:val="00A41967"/>
    <w:rsid w:val="00A47A28"/>
    <w:rsid w:val="00A754AA"/>
    <w:rsid w:val="00A76DBB"/>
    <w:rsid w:val="00A77F5A"/>
    <w:rsid w:val="00A936C1"/>
    <w:rsid w:val="00A96E1C"/>
    <w:rsid w:val="00A97073"/>
    <w:rsid w:val="00AB304B"/>
    <w:rsid w:val="00AB42AF"/>
    <w:rsid w:val="00AB55E1"/>
    <w:rsid w:val="00AC6F32"/>
    <w:rsid w:val="00AF2FD1"/>
    <w:rsid w:val="00B053ED"/>
    <w:rsid w:val="00B15712"/>
    <w:rsid w:val="00B15F18"/>
    <w:rsid w:val="00B25003"/>
    <w:rsid w:val="00B255EF"/>
    <w:rsid w:val="00B34499"/>
    <w:rsid w:val="00B420AC"/>
    <w:rsid w:val="00B50CE6"/>
    <w:rsid w:val="00B54AAC"/>
    <w:rsid w:val="00B55834"/>
    <w:rsid w:val="00B5660C"/>
    <w:rsid w:val="00B63F0D"/>
    <w:rsid w:val="00B72E02"/>
    <w:rsid w:val="00B736EC"/>
    <w:rsid w:val="00B74FB2"/>
    <w:rsid w:val="00B800E2"/>
    <w:rsid w:val="00B870E3"/>
    <w:rsid w:val="00B9748E"/>
    <w:rsid w:val="00BB07AE"/>
    <w:rsid w:val="00BC6D73"/>
    <w:rsid w:val="00BD1D16"/>
    <w:rsid w:val="00BD3CB0"/>
    <w:rsid w:val="00BD5718"/>
    <w:rsid w:val="00BD5ABD"/>
    <w:rsid w:val="00BF5A15"/>
    <w:rsid w:val="00C15376"/>
    <w:rsid w:val="00C17B56"/>
    <w:rsid w:val="00C34625"/>
    <w:rsid w:val="00C36212"/>
    <w:rsid w:val="00C37909"/>
    <w:rsid w:val="00C4497E"/>
    <w:rsid w:val="00C46106"/>
    <w:rsid w:val="00C670CA"/>
    <w:rsid w:val="00C75056"/>
    <w:rsid w:val="00C84AE2"/>
    <w:rsid w:val="00C86A5E"/>
    <w:rsid w:val="00CA2912"/>
    <w:rsid w:val="00CB71A7"/>
    <w:rsid w:val="00CB72E4"/>
    <w:rsid w:val="00CC1F30"/>
    <w:rsid w:val="00CF625A"/>
    <w:rsid w:val="00CF6EDA"/>
    <w:rsid w:val="00D002C7"/>
    <w:rsid w:val="00D06303"/>
    <w:rsid w:val="00D0652A"/>
    <w:rsid w:val="00D17F33"/>
    <w:rsid w:val="00D33BA5"/>
    <w:rsid w:val="00D341DD"/>
    <w:rsid w:val="00D359F7"/>
    <w:rsid w:val="00D424FF"/>
    <w:rsid w:val="00D455C4"/>
    <w:rsid w:val="00D63DE2"/>
    <w:rsid w:val="00D646E4"/>
    <w:rsid w:val="00D7286A"/>
    <w:rsid w:val="00D81B19"/>
    <w:rsid w:val="00D924F2"/>
    <w:rsid w:val="00D9341D"/>
    <w:rsid w:val="00DA1B1E"/>
    <w:rsid w:val="00DA22F0"/>
    <w:rsid w:val="00DA6FA8"/>
    <w:rsid w:val="00DB0B98"/>
    <w:rsid w:val="00DB1F38"/>
    <w:rsid w:val="00DF03B4"/>
    <w:rsid w:val="00DF2CB3"/>
    <w:rsid w:val="00E26F1A"/>
    <w:rsid w:val="00E27C3F"/>
    <w:rsid w:val="00E36AEB"/>
    <w:rsid w:val="00E370D6"/>
    <w:rsid w:val="00E4626F"/>
    <w:rsid w:val="00E5563F"/>
    <w:rsid w:val="00EA0E6A"/>
    <w:rsid w:val="00EA29CB"/>
    <w:rsid w:val="00EA5A5A"/>
    <w:rsid w:val="00EA692D"/>
    <w:rsid w:val="00EC041B"/>
    <w:rsid w:val="00EC70B9"/>
    <w:rsid w:val="00ED3C9E"/>
    <w:rsid w:val="00ED3E0B"/>
    <w:rsid w:val="00EE10E3"/>
    <w:rsid w:val="00EE3F17"/>
    <w:rsid w:val="00EF08DA"/>
    <w:rsid w:val="00EF14FD"/>
    <w:rsid w:val="00F009C4"/>
    <w:rsid w:val="00F07D16"/>
    <w:rsid w:val="00F11F3B"/>
    <w:rsid w:val="00F153E9"/>
    <w:rsid w:val="00F34E16"/>
    <w:rsid w:val="00F44454"/>
    <w:rsid w:val="00F55BE2"/>
    <w:rsid w:val="00F57D0B"/>
    <w:rsid w:val="00F65EBE"/>
    <w:rsid w:val="00F778C0"/>
    <w:rsid w:val="00FA2DB2"/>
    <w:rsid w:val="00FB6EA8"/>
    <w:rsid w:val="00FC26CB"/>
    <w:rsid w:val="01552327"/>
    <w:rsid w:val="01F42D45"/>
    <w:rsid w:val="06233BF8"/>
    <w:rsid w:val="081630F2"/>
    <w:rsid w:val="08F37BCD"/>
    <w:rsid w:val="0F950AA8"/>
    <w:rsid w:val="0FB6788B"/>
    <w:rsid w:val="16E25D04"/>
    <w:rsid w:val="22883309"/>
    <w:rsid w:val="27BA3F65"/>
    <w:rsid w:val="27BB1C4F"/>
    <w:rsid w:val="2D312EEF"/>
    <w:rsid w:val="2D746964"/>
    <w:rsid w:val="2D811081"/>
    <w:rsid w:val="34801C14"/>
    <w:rsid w:val="39846181"/>
    <w:rsid w:val="3A5D67FA"/>
    <w:rsid w:val="3E140190"/>
    <w:rsid w:val="483A4891"/>
    <w:rsid w:val="4AB47FD0"/>
    <w:rsid w:val="4FE75FCC"/>
    <w:rsid w:val="51937451"/>
    <w:rsid w:val="54F53386"/>
    <w:rsid w:val="54F73314"/>
    <w:rsid w:val="57AA5B60"/>
    <w:rsid w:val="5EC549C2"/>
    <w:rsid w:val="630E06E5"/>
    <w:rsid w:val="65EB1F49"/>
    <w:rsid w:val="667016B7"/>
    <w:rsid w:val="6848193A"/>
    <w:rsid w:val="74D86DA5"/>
    <w:rsid w:val="78C73895"/>
    <w:rsid w:val="7A230AC3"/>
    <w:rsid w:val="7A4A04DE"/>
    <w:rsid w:val="7AD568EC"/>
    <w:rsid w:val="7C6B04FF"/>
    <w:rsid w:val="7E0D3D37"/>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3">
    <w:name w:val="Date"/>
    <w:basedOn w:val="1"/>
    <w:next w:val="1"/>
    <w:link w:val="16"/>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Body Text First Indent"/>
    <w:basedOn w:val="2"/>
    <w:link w:val="15"/>
    <w:qFormat/>
    <w:uiPriority w:val="0"/>
    <w:pPr>
      <w:ind w:firstLine="420" w:firstLineChars="100"/>
    </w:pPr>
    <w:rPr>
      <w:rFonts w:ascii="Calibri" w:hAnsi="Calibri" w:eastAsia="宋体" w:cs="Times New Roman"/>
      <w:szCs w:val="24"/>
      <w14:ligatures w14:val="none"/>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正文文本 字符"/>
    <w:basedOn w:val="8"/>
    <w:link w:val="2"/>
    <w:semiHidden/>
    <w:qFormat/>
    <w:uiPriority w:val="99"/>
  </w:style>
  <w:style w:type="character" w:customStyle="1" w:styleId="15">
    <w:name w:val="正文文本首行缩进 字符"/>
    <w:basedOn w:val="14"/>
    <w:link w:val="6"/>
    <w:qFormat/>
    <w:uiPriority w:val="0"/>
    <w:rPr>
      <w:rFonts w:ascii="Calibri" w:hAnsi="Calibri" w:eastAsia="宋体" w:cs="Times New Roman"/>
      <w:szCs w:val="24"/>
      <w14:ligatures w14:val="none"/>
    </w:rPr>
  </w:style>
  <w:style w:type="character" w:customStyle="1" w:styleId="16">
    <w:name w:val="日期 字符"/>
    <w:basedOn w:val="8"/>
    <w:link w:val="3"/>
    <w:semiHidden/>
    <w:qFormat/>
    <w:uiPriority w:val="99"/>
    <w:rPr>
      <w:rFonts w:asciiTheme="minorHAnsi" w:hAnsiTheme="minorHAnsi" w:eastAsiaTheme="minorEastAsia" w:cstheme="minorBidi"/>
      <w:kern w:val="2"/>
      <w:sz w:val="21"/>
      <w:szCs w:val="2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5217</Words>
  <Characters>5588</Characters>
  <Lines>145</Lines>
  <Paragraphs>124</Paragraphs>
  <TotalTime>46</TotalTime>
  <ScaleCrop>false</ScaleCrop>
  <LinksUpToDate>false</LinksUpToDate>
  <CharactersWithSpaces>5613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2024-06-05T02:29:00Z</dcterms:created>
  <dc:creator>李 艳婷</dc:creator>
  <cp:lastModifiedBy>程</cp:lastModifiedBy>
  <cp:lastPrinted>2025-05-07T01:54:00Z</cp:lastPrinted>
  <dcterms:modified xsi:type="dcterms:W3CDTF">2025-05-14T08:57:56Z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410B5B335F00472088AE6B41325AED14</vt:lpwstr>
  </property>
  <property fmtid="{D5CDD505-2E9C-101B-9397-08002B2CF9AE}" pid="4" name="KSOTemplateDocerSaveRecord">
    <vt:lpwstr>eyJoZGlkIjoiZjBlMWMyNjZlNzExNTkyYjgxNjQ4NDIwYTZhOGI2NTkiLCJ1c2VySWQiOiI5NzYxNjQ5NDEifQ==</vt:lpwstr>
  </property>
</Properties>
</file>