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C26DC">
      <w:pPr>
        <w:spacing w:before="341" w:line="223" w:lineRule="auto"/>
        <w:ind w:left="327"/>
        <w:rPr>
          <w:rFonts w:ascii="方正小标宋简体" w:hAnsi="方正小标宋简体" w:eastAsia="方正小标宋简体" w:cs="方正小标宋简体"/>
          <w:sz w:val="53"/>
          <w:szCs w:val="53"/>
        </w:rPr>
      </w:pPr>
      <w:r>
        <w:rPr>
          <w:rFonts w:ascii="方正小标宋简体" w:hAnsi="方正小标宋简体" w:eastAsia="方正小标宋简体" w:cs="方正小标宋简体"/>
          <w:color w:val="FF0000"/>
          <w:spacing w:val="128"/>
          <w:sz w:val="53"/>
          <w:szCs w:val="53"/>
        </w:rPr>
        <w:t>广州农村产权交易所有限公司</w:t>
      </w:r>
    </w:p>
    <w:p w14:paraId="73970A3D">
      <w:pPr>
        <w:spacing w:line="45" w:lineRule="exact"/>
      </w:pPr>
      <w:r>
        <w:drawing>
          <wp:inline distT="0" distB="0" distL="0" distR="0">
            <wp:extent cx="6120130" cy="285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B620A">
      <w:pPr>
        <w:spacing w:line="307" w:lineRule="auto"/>
        <w:rPr>
          <w:rFonts w:ascii="Arial"/>
          <w:sz w:val="21"/>
        </w:rPr>
      </w:pPr>
    </w:p>
    <w:p w14:paraId="31A8508C">
      <w:pPr>
        <w:spacing w:line="308" w:lineRule="auto"/>
        <w:rPr>
          <w:rFonts w:ascii="Arial"/>
          <w:sz w:val="21"/>
        </w:rPr>
      </w:pPr>
    </w:p>
    <w:p w14:paraId="56B43366">
      <w:pPr>
        <w:spacing w:before="177" w:line="191" w:lineRule="auto"/>
        <w:ind w:left="2563"/>
        <w:outlineLvl w:val="0"/>
        <w:rPr>
          <w:rFonts w:ascii="Microsoft YaHei UI" w:hAnsi="Microsoft YaHei UI" w:eastAsia="Microsoft YaHei UI" w:cs="Microsoft YaHei UI"/>
          <w:sz w:val="43"/>
          <w:szCs w:val="43"/>
        </w:rPr>
      </w:pPr>
      <w:r>
        <w:rPr>
          <w:rFonts w:ascii="Microsoft YaHei UI" w:hAnsi="Microsoft YaHei UI" w:eastAsia="Microsoft YaHei UI" w:cs="Microsoft YaHei UI"/>
          <w:b/>
          <w:bCs/>
          <w:spacing w:val="7"/>
          <w:sz w:val="43"/>
          <w:szCs w:val="43"/>
        </w:rPr>
        <w:t>网络多次报价交易须知</w:t>
      </w:r>
    </w:p>
    <w:p w14:paraId="551E4698">
      <w:pPr>
        <w:spacing w:line="369" w:lineRule="auto"/>
        <w:rPr>
          <w:rFonts w:ascii="Arial"/>
          <w:sz w:val="21"/>
        </w:rPr>
      </w:pPr>
    </w:p>
    <w:p w14:paraId="12537D7C">
      <w:pPr>
        <w:pStyle w:val="2"/>
        <w:spacing w:before="101" w:line="275" w:lineRule="auto"/>
        <w:ind w:left="333" w:right="475" w:firstLine="634"/>
        <w:jc w:val="both"/>
      </w:pPr>
      <w:r>
        <w:rPr>
          <w:spacing w:val="5"/>
        </w:rPr>
        <w:t>广州农村产权交易所有限公司（以下简称本司）根据《广州</w:t>
      </w:r>
      <w:r>
        <w:t xml:space="preserve"> </w:t>
      </w:r>
      <w:r>
        <w:rPr>
          <w:spacing w:val="5"/>
        </w:rPr>
        <w:t>农村产权交易所有限公司网络多次报价实施办法》和项目具体情</w:t>
      </w:r>
      <w:r>
        <w:rPr>
          <w:spacing w:val="7"/>
        </w:rPr>
        <w:t xml:space="preserve"> 况制定本交易须知。</w:t>
      </w:r>
    </w:p>
    <w:p w14:paraId="47D26954">
      <w:pPr>
        <w:pStyle w:val="2"/>
        <w:spacing w:before="53" w:line="270" w:lineRule="auto"/>
        <w:ind w:left="2079" w:right="600" w:hanging="1089"/>
      </w:pPr>
      <w:r>
        <w:rPr>
          <w:b/>
          <w:bCs/>
          <w:spacing w:val="7"/>
        </w:rPr>
        <w:t>第一条</w:t>
      </w:r>
      <w:r>
        <w:rPr>
          <w:spacing w:val="-44"/>
        </w:rPr>
        <w:t xml:space="preserve"> </w:t>
      </w:r>
      <w:r>
        <w:rPr>
          <w:spacing w:val="7"/>
        </w:rPr>
        <w:t>交易标的：</w:t>
      </w:r>
      <w:r>
        <w:rPr>
          <w:rFonts w:hint="eastAsia"/>
          <w:spacing w:val="7"/>
          <w:lang w:eastAsia="zh-CN"/>
        </w:rPr>
        <w:t>广州市花都区新华街横潭经济联合社物业出租项目</w:t>
      </w:r>
    </w:p>
    <w:p w14:paraId="446225F7">
      <w:pPr>
        <w:pStyle w:val="2"/>
        <w:spacing w:before="52" w:line="270" w:lineRule="auto"/>
        <w:ind w:left="985" w:right="3085" w:firstLine="1101"/>
        <w:rPr>
          <w:spacing w:val="5"/>
        </w:rPr>
      </w:pPr>
      <w:r>
        <w:rPr>
          <w:spacing w:val="5"/>
        </w:rPr>
        <w:t>项目编号：</w:t>
      </w:r>
      <w:r>
        <w:rPr>
          <w:rFonts w:hint="eastAsia"/>
          <w:spacing w:val="5"/>
        </w:rPr>
        <w:t>440114008Q25050001</w:t>
      </w:r>
    </w:p>
    <w:p w14:paraId="04DDFA3A">
      <w:pPr>
        <w:pStyle w:val="2"/>
        <w:spacing w:before="52" w:line="270" w:lineRule="auto"/>
        <w:ind w:right="3085" w:firstLine="934" w:firstLineChars="300"/>
      </w:pPr>
      <w:r>
        <w:rPr>
          <w:b/>
          <w:bCs/>
        </w:rPr>
        <w:t>第二条</w:t>
      </w:r>
      <w:r>
        <w:rPr>
          <w:spacing w:val="58"/>
        </w:rPr>
        <w:t xml:space="preserve"> </w:t>
      </w:r>
      <w:r>
        <w:t>网络报价时间</w:t>
      </w:r>
    </w:p>
    <w:p w14:paraId="05EC229C">
      <w:pPr>
        <w:pStyle w:val="2"/>
        <w:spacing w:before="53" w:line="220" w:lineRule="auto"/>
        <w:ind w:left="961"/>
      </w:pPr>
      <w:r>
        <w:rPr>
          <w:spacing w:val="-4"/>
        </w:rPr>
        <w:t>（一）报价开始时间：2025年</w:t>
      </w:r>
      <w:r>
        <w:rPr>
          <w:rFonts w:hint="eastAsia"/>
          <w:spacing w:val="-52"/>
          <w:lang w:val="en-US" w:eastAsia="zh-CN"/>
        </w:rPr>
        <w:t>5</w:t>
      </w:r>
      <w:r>
        <w:rPr>
          <w:spacing w:val="-4"/>
        </w:rPr>
        <w:t>月</w:t>
      </w:r>
      <w:r>
        <w:rPr>
          <w:rFonts w:hint="eastAsia"/>
          <w:spacing w:val="-41"/>
          <w:lang w:val="en-US" w:eastAsia="zh-CN"/>
        </w:rPr>
        <w:t>27</w:t>
      </w:r>
      <w:r>
        <w:rPr>
          <w:spacing w:val="-4"/>
        </w:rPr>
        <w:t>日10时00分</w:t>
      </w:r>
      <w:bookmarkStart w:id="0" w:name="_GoBack"/>
      <w:bookmarkEnd w:id="0"/>
    </w:p>
    <w:p w14:paraId="4FC3EFBC">
      <w:pPr>
        <w:pStyle w:val="2"/>
        <w:spacing w:before="111" w:line="220" w:lineRule="auto"/>
        <w:ind w:left="961"/>
      </w:pPr>
      <w:r>
        <w:rPr>
          <w:spacing w:val="8"/>
        </w:rPr>
        <w:t>（二）报价时段：</w:t>
      </w:r>
    </w:p>
    <w:p w14:paraId="5A20EE85">
      <w:pPr>
        <w:pStyle w:val="2"/>
        <w:spacing w:before="112" w:line="270" w:lineRule="auto"/>
        <w:ind w:left="351" w:right="477" w:firstLine="638"/>
      </w:pPr>
      <w:r>
        <w:rPr>
          <w:spacing w:val="-10"/>
        </w:rPr>
        <w:t>1.</w:t>
      </w:r>
      <w:r>
        <w:rPr>
          <w:spacing w:val="-64"/>
        </w:rPr>
        <w:t xml:space="preserve"> </w:t>
      </w:r>
      <w:r>
        <w:rPr>
          <w:spacing w:val="-10"/>
        </w:rPr>
        <w:t>自</w:t>
      </w:r>
      <w:r>
        <w:rPr>
          <w:spacing w:val="-92"/>
        </w:rPr>
        <w:t xml:space="preserve"> </w:t>
      </w:r>
      <w:r>
        <w:rPr>
          <w:spacing w:val="-10"/>
        </w:rPr>
        <w:t>由报价阶段：202</w:t>
      </w:r>
      <w:r>
        <w:rPr>
          <w:rFonts w:hint="eastAsia"/>
          <w:spacing w:val="-10"/>
          <w:lang w:val="en-US" w:eastAsia="zh-CN"/>
        </w:rPr>
        <w:t>5</w:t>
      </w:r>
      <w:r>
        <w:rPr>
          <w:spacing w:val="-10"/>
        </w:rPr>
        <w:t>年</w:t>
      </w:r>
      <w:r>
        <w:rPr>
          <w:rFonts w:hint="eastAsia"/>
          <w:spacing w:val="-45"/>
          <w:lang w:val="en-US" w:eastAsia="zh-CN"/>
        </w:rPr>
        <w:t>5</w:t>
      </w:r>
      <w:r>
        <w:rPr>
          <w:spacing w:val="-10"/>
        </w:rPr>
        <w:t>月</w:t>
      </w:r>
      <w:r>
        <w:rPr>
          <w:rFonts w:hint="eastAsia"/>
          <w:spacing w:val="-36"/>
          <w:lang w:val="en-US" w:eastAsia="zh-CN"/>
        </w:rPr>
        <w:t>27</w:t>
      </w:r>
      <w:r>
        <w:rPr>
          <w:spacing w:val="-10"/>
        </w:rPr>
        <w:t>日10时00</w:t>
      </w:r>
      <w:r>
        <w:rPr>
          <w:spacing w:val="-55"/>
        </w:rPr>
        <w:t xml:space="preserve"> </w:t>
      </w:r>
      <w:r>
        <w:rPr>
          <w:spacing w:val="-10"/>
        </w:rPr>
        <w:t>分始至10时</w:t>
      </w:r>
      <w:r>
        <w:rPr>
          <w:rFonts w:hint="eastAsia"/>
          <w:lang w:val="en-US" w:eastAsia="zh-CN"/>
        </w:rPr>
        <w:t>10</w:t>
      </w:r>
      <w:r>
        <w:t>分（</w:t>
      </w:r>
      <w:r>
        <w:rPr>
          <w:rFonts w:hint="eastAsia"/>
          <w:lang w:val="en-US" w:eastAsia="zh-CN"/>
        </w:rPr>
        <w:t>10</w:t>
      </w:r>
      <w:r>
        <w:t>分钟）</w:t>
      </w:r>
    </w:p>
    <w:p w14:paraId="09BEBD71">
      <w:pPr>
        <w:pStyle w:val="2"/>
        <w:spacing w:before="55" w:line="280" w:lineRule="auto"/>
        <w:ind w:left="336" w:right="429" w:firstLine="645"/>
        <w:jc w:val="both"/>
      </w:pPr>
      <w:r>
        <w:rPr>
          <w:spacing w:val="2"/>
        </w:rPr>
        <w:t>2.限时报价阶段：每次限时周期为</w:t>
      </w:r>
      <w:r>
        <w:rPr>
          <w:spacing w:val="-33"/>
        </w:rPr>
        <w:t xml:space="preserve"> </w:t>
      </w:r>
      <w:r>
        <w:rPr>
          <w:spacing w:val="2"/>
        </w:rPr>
        <w:t>2</w:t>
      </w:r>
      <w:r>
        <w:rPr>
          <w:spacing w:val="-59"/>
        </w:rPr>
        <w:t xml:space="preserve"> </w:t>
      </w:r>
      <w:r>
        <w:rPr>
          <w:spacing w:val="2"/>
        </w:rPr>
        <w:t>分钟，首次限时周期从</w:t>
      </w:r>
      <w:r>
        <w:t xml:space="preserve"> </w:t>
      </w:r>
      <w:r>
        <w:rPr>
          <w:spacing w:val="5"/>
        </w:rPr>
        <w:t xml:space="preserve">自由竞价时段结束起计算。若限时周期内无人再报价的，则当前 </w:t>
      </w:r>
      <w:r>
        <w:rPr>
          <w:spacing w:val="7"/>
        </w:rPr>
        <w:t>报价即为最高报价。若在预定的限时周期内有竞价人</w:t>
      </w:r>
      <w:r>
        <w:rPr>
          <w:spacing w:val="6"/>
        </w:rPr>
        <w:t>继续报价，</w:t>
      </w:r>
      <w:r>
        <w:t xml:space="preserve"> </w:t>
      </w:r>
      <w:r>
        <w:rPr>
          <w:spacing w:val="5"/>
        </w:rPr>
        <w:t>则此新报价为当前有效报价，系统将重新进入</w:t>
      </w:r>
      <w:r>
        <w:rPr>
          <w:spacing w:val="-41"/>
        </w:rPr>
        <w:t xml:space="preserve"> </w:t>
      </w:r>
      <w:r>
        <w:rPr>
          <w:spacing w:val="4"/>
        </w:rPr>
        <w:t>120</w:t>
      </w:r>
      <w:r>
        <w:rPr>
          <w:spacing w:val="-59"/>
        </w:rPr>
        <w:t xml:space="preserve"> </w:t>
      </w:r>
      <w:r>
        <w:rPr>
          <w:spacing w:val="4"/>
        </w:rPr>
        <w:t>秒限时周期。</w:t>
      </w:r>
      <w:r>
        <w:t xml:space="preserve"> </w:t>
      </w:r>
      <w:r>
        <w:rPr>
          <w:spacing w:val="5"/>
        </w:rPr>
        <w:t xml:space="preserve">如此循环，直至没有新的有效报价，此时的最高报价被确认为最 </w:t>
      </w:r>
      <w:r>
        <w:rPr>
          <w:spacing w:val="3"/>
        </w:rPr>
        <w:t>高报价。</w:t>
      </w:r>
    </w:p>
    <w:p w14:paraId="24E397CA">
      <w:pPr>
        <w:pStyle w:val="2"/>
        <w:spacing w:before="57" w:line="269" w:lineRule="auto"/>
        <w:ind w:left="335" w:right="477" w:firstLine="642"/>
      </w:pPr>
      <w:r>
        <w:rPr>
          <w:spacing w:val="4"/>
        </w:rPr>
        <w:t>上述时段和意向受让（承包）方的报价时间以网络报价系统</w:t>
      </w:r>
      <w:r>
        <w:rPr>
          <w:spacing w:val="17"/>
        </w:rPr>
        <w:t xml:space="preserve"> </w:t>
      </w:r>
      <w:r>
        <w:rPr>
          <w:spacing w:val="6"/>
        </w:rPr>
        <w:t>服务器记录为准。</w:t>
      </w:r>
    </w:p>
    <w:p w14:paraId="72CE9700">
      <w:pPr>
        <w:pStyle w:val="2"/>
        <w:spacing w:before="56" w:line="221" w:lineRule="auto"/>
        <w:ind w:left="985"/>
      </w:pPr>
      <w:r>
        <w:rPr>
          <w:b/>
          <w:bCs/>
          <w:spacing w:val="6"/>
        </w:rPr>
        <w:t>第三条</w:t>
      </w:r>
      <w:r>
        <w:rPr>
          <w:spacing w:val="6"/>
        </w:rPr>
        <w:t xml:space="preserve"> 起始价和加价幅度</w:t>
      </w:r>
    </w:p>
    <w:p w14:paraId="5CB8DC92">
      <w:pPr>
        <w:pStyle w:val="2"/>
        <w:spacing w:before="174" w:line="222" w:lineRule="auto"/>
        <w:ind w:left="961"/>
        <w:rPr>
          <w:sz w:val="30"/>
          <w:szCs w:val="30"/>
        </w:rPr>
      </w:pPr>
      <w:r>
        <w:rPr>
          <w:spacing w:val="1"/>
        </w:rPr>
        <w:t>（一）起始价：</w:t>
      </w:r>
      <w:r>
        <w:rPr>
          <w:rFonts w:ascii="Times New Roman" w:hAnsi="Times New Roman" w:eastAsia="Times New Roman" w:cs="Times New Roman"/>
          <w:spacing w:val="1"/>
        </w:rPr>
        <w:t>¥</w:t>
      </w:r>
      <w:r>
        <w:rPr>
          <w:spacing w:val="-121"/>
          <w:sz w:val="30"/>
          <w:szCs w:val="30"/>
          <w:u w:val="single" w:color="auto"/>
        </w:rPr>
        <w:t xml:space="preserve"> </w:t>
      </w:r>
      <w:r>
        <w:rPr>
          <w:rFonts w:hint="eastAsia"/>
          <w:spacing w:val="1"/>
          <w:sz w:val="30"/>
          <w:szCs w:val="30"/>
          <w:u w:val="single" w:color="auto"/>
          <w:lang w:val="en-US" w:eastAsia="zh-CN"/>
        </w:rPr>
        <w:t>1800000元/宗·年</w:t>
      </w:r>
    </w:p>
    <w:p w14:paraId="2746874A">
      <w:pPr>
        <w:spacing w:line="222" w:lineRule="auto"/>
        <w:rPr>
          <w:sz w:val="30"/>
          <w:szCs w:val="30"/>
        </w:rPr>
        <w:sectPr>
          <w:pgSz w:w="11906" w:h="16839"/>
          <w:pgMar w:top="1431" w:right="997" w:bottom="0" w:left="1270" w:header="0" w:footer="0" w:gutter="0"/>
          <w:cols w:space="720" w:num="1"/>
        </w:sectPr>
      </w:pPr>
    </w:p>
    <w:p w14:paraId="09C56A4A">
      <w:pPr>
        <w:spacing w:line="280" w:lineRule="auto"/>
        <w:rPr>
          <w:rFonts w:ascii="Arial"/>
          <w:sz w:val="21"/>
        </w:rPr>
      </w:pPr>
    </w:p>
    <w:p w14:paraId="00D4E94B">
      <w:pPr>
        <w:pStyle w:val="2"/>
        <w:spacing w:before="101" w:line="259" w:lineRule="auto"/>
        <w:ind w:left="654" w:right="156" w:hanging="14"/>
        <w:rPr>
          <w:rFonts w:ascii="Times New Roman" w:hAnsi="Times New Roman" w:eastAsia="Times New Roman" w:cs="Times New Roman"/>
        </w:rPr>
      </w:pPr>
      <w:r>
        <w:rPr>
          <w:spacing w:val="-2"/>
        </w:rPr>
        <w:t>（二）加价幅度：每次报价递增</w:t>
      </w:r>
      <w:r>
        <w:rPr>
          <w:spacing w:val="-4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 w:color="auto"/>
          <w:lang w:val="en-US" w:eastAsia="zh-CN"/>
          <w14:ligatures w14:val="none"/>
        </w:rPr>
        <w:t>10000</w:t>
      </w:r>
      <w:r>
        <w:rPr>
          <w:spacing w:val="-3"/>
          <w:u w:val="single" w:color="auto"/>
        </w:rPr>
        <w:t>元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>/</w:t>
      </w:r>
      <w:r>
        <w:rPr>
          <w:spacing w:val="-3"/>
          <w:u w:val="single" w:color="auto"/>
        </w:rPr>
        <w:t>宗</w:t>
      </w:r>
      <w:r>
        <w:rPr>
          <w:rFonts w:hint="eastAsia"/>
          <w:spacing w:val="1"/>
          <w:sz w:val="30"/>
          <w:szCs w:val="30"/>
          <w:u w:val="single" w:color="auto"/>
          <w:lang w:val="en-US" w:eastAsia="zh-CN"/>
        </w:rPr>
        <w:t>·</w:t>
      </w:r>
      <w:r>
        <w:rPr>
          <w:rFonts w:hint="eastAsia"/>
          <w:spacing w:val="-3"/>
          <w:u w:val="single" w:color="auto"/>
          <w:lang w:val="en-US" w:eastAsia="zh-CN"/>
        </w:rPr>
        <w:t>年</w:t>
      </w:r>
      <w:r>
        <w:rPr>
          <w:spacing w:val="-3"/>
        </w:rPr>
        <w:t>或其整倍数</w:t>
      </w:r>
      <w:r>
        <w:rPr>
          <w:rFonts w:ascii="Times New Roman" w:hAnsi="Times New Roman" w:eastAsia="Times New Roman" w:cs="Times New Roman"/>
          <w:spacing w:val="-3"/>
        </w:rPr>
        <w:t>(</w:t>
      </w:r>
      <w:r>
        <w:rPr>
          <w:spacing w:val="-3"/>
        </w:rPr>
        <w:t>上</w:t>
      </w:r>
      <w:r>
        <w:rPr>
          <w:spacing w:val="3"/>
        </w:rPr>
        <w:t>不封顶</w:t>
      </w:r>
      <w:r>
        <w:rPr>
          <w:rFonts w:ascii="Times New Roman" w:hAnsi="Times New Roman" w:eastAsia="Times New Roman" w:cs="Times New Roman"/>
          <w:spacing w:val="3"/>
        </w:rPr>
        <w:t>)</w:t>
      </w:r>
    </w:p>
    <w:p w14:paraId="0CB692ED">
      <w:pPr>
        <w:pStyle w:val="2"/>
        <w:spacing w:before="89" w:line="221" w:lineRule="auto"/>
        <w:ind w:left="664"/>
      </w:pPr>
      <w:r>
        <w:rPr>
          <w:b/>
          <w:bCs/>
          <w:spacing w:val="1"/>
        </w:rPr>
        <w:t>第四条</w:t>
      </w:r>
      <w:r>
        <w:rPr>
          <w:spacing w:val="33"/>
        </w:rPr>
        <w:t xml:space="preserve"> </w:t>
      </w:r>
      <w:r>
        <w:rPr>
          <w:spacing w:val="1"/>
        </w:rPr>
        <w:t>成交签约</w:t>
      </w:r>
    </w:p>
    <w:p w14:paraId="339F38B7">
      <w:pPr>
        <w:pStyle w:val="2"/>
        <w:spacing w:before="109" w:line="269" w:lineRule="auto"/>
        <w:ind w:left="39" w:right="156" w:firstLine="622"/>
      </w:pPr>
      <w:r>
        <w:rPr>
          <w:spacing w:val="2"/>
        </w:rPr>
        <w:t>受让（承包）方须在报价活动结束之日起</w:t>
      </w:r>
      <w:r>
        <w:rPr>
          <w:spacing w:val="-32"/>
        </w:rPr>
        <w:t xml:space="preserve"> </w:t>
      </w:r>
      <w:r>
        <w:rPr>
          <w:spacing w:val="2"/>
        </w:rPr>
        <w:t>3</w:t>
      </w:r>
      <w:r>
        <w:rPr>
          <w:spacing w:val="-60"/>
        </w:rPr>
        <w:t xml:space="preserve"> </w:t>
      </w:r>
      <w:r>
        <w:rPr>
          <w:spacing w:val="2"/>
        </w:rPr>
        <w:t>个工作日内与本</w:t>
      </w:r>
      <w:r>
        <w:t xml:space="preserve"> </w:t>
      </w:r>
      <w:r>
        <w:rPr>
          <w:spacing w:val="4"/>
        </w:rPr>
        <w:t>司、委托方签订《成交确认书》，并在成交结果公示结束之日起</w:t>
      </w:r>
    </w:p>
    <w:p w14:paraId="08EA6861">
      <w:pPr>
        <w:pStyle w:val="2"/>
        <w:spacing w:before="54" w:line="253" w:lineRule="auto"/>
        <w:ind w:left="664" w:right="3628" w:hanging="638"/>
      </w:pPr>
      <w:r>
        <w:rPr>
          <w:spacing w:val="3"/>
        </w:rPr>
        <w:t>5 个工作日内与经济联合社签订合同。</w:t>
      </w:r>
      <w:r>
        <w:rPr>
          <w:spacing w:val="15"/>
        </w:rPr>
        <w:t xml:space="preserve"> </w:t>
      </w:r>
      <w:r>
        <w:rPr>
          <w:b/>
          <w:bCs/>
          <w:spacing w:val="6"/>
        </w:rPr>
        <w:t>第五条</w:t>
      </w:r>
      <w:r>
        <w:rPr>
          <w:spacing w:val="6"/>
        </w:rPr>
        <w:t xml:space="preserve"> 交易保证金的处置</w:t>
      </w:r>
    </w:p>
    <w:p w14:paraId="1436A496">
      <w:pPr>
        <w:pStyle w:val="2"/>
        <w:spacing w:before="109" w:line="264" w:lineRule="auto"/>
        <w:ind w:right="156" w:firstLine="640"/>
      </w:pPr>
      <w:r>
        <w:rPr>
          <w:spacing w:val="5"/>
        </w:rPr>
        <w:t>（一）若意向受让（承包）方未被确认为交易标的受让（承</w:t>
      </w:r>
      <w:r>
        <w:rPr>
          <w:spacing w:val="7"/>
        </w:rPr>
        <w:t xml:space="preserve"> </w:t>
      </w:r>
      <w:r>
        <w:rPr>
          <w:spacing w:val="4"/>
        </w:rPr>
        <w:t>包）方的，在交易结果公示结束之日起</w:t>
      </w:r>
      <w:r>
        <w:rPr>
          <w:spacing w:val="-47"/>
        </w:rPr>
        <w:t xml:space="preserve"> </w:t>
      </w:r>
      <w:r>
        <w:rPr>
          <w:spacing w:val="4"/>
        </w:rPr>
        <w:t>5</w:t>
      </w:r>
      <w:r>
        <w:rPr>
          <w:spacing w:val="-60"/>
        </w:rPr>
        <w:t xml:space="preserve"> </w:t>
      </w:r>
      <w:r>
        <w:rPr>
          <w:spacing w:val="4"/>
        </w:rPr>
        <w:t>个工作日内，本</w:t>
      </w:r>
      <w:r>
        <w:rPr>
          <w:spacing w:val="3"/>
        </w:rPr>
        <w:t>司按规</w:t>
      </w:r>
      <w:r>
        <w:t xml:space="preserve"> </w:t>
      </w:r>
      <w:r>
        <w:rPr>
          <w:spacing w:val="9"/>
        </w:rPr>
        <w:t>定将其交易保证金不计利息地原路退回。</w:t>
      </w:r>
    </w:p>
    <w:p w14:paraId="16B5690A">
      <w:pPr>
        <w:pStyle w:val="2"/>
        <w:spacing w:before="62" w:line="250" w:lineRule="auto"/>
        <w:ind w:left="7" w:firstLine="632"/>
        <w:rPr>
          <w:sz w:val="30"/>
          <w:szCs w:val="30"/>
        </w:rPr>
      </w:pPr>
      <w:r>
        <w:rPr>
          <w:spacing w:val="-1"/>
        </w:rPr>
        <w:t>（二）若意向受让（承包）方被确认为交易标的受让（承包）</w:t>
      </w:r>
      <w:r>
        <w:rPr>
          <w:spacing w:val="10"/>
        </w:rPr>
        <w:t xml:space="preserve"> </w:t>
      </w:r>
      <w:r>
        <w:rPr>
          <w:spacing w:val="9"/>
        </w:rPr>
        <w:t>方，</w:t>
      </w:r>
      <w:r>
        <w:rPr>
          <w:spacing w:val="9"/>
          <w:sz w:val="30"/>
          <w:szCs w:val="30"/>
        </w:rPr>
        <w:t>交易保证金余额转为履约保证金。受让（承包）方签订《</w:t>
      </w:r>
      <w:r>
        <w:rPr>
          <w:spacing w:val="9"/>
        </w:rPr>
        <w:t>土</w:t>
      </w:r>
      <w:r>
        <w:rPr>
          <w:spacing w:val="4"/>
        </w:rPr>
        <w:t xml:space="preserve">   </w:t>
      </w:r>
      <w:r>
        <w:rPr>
          <w:spacing w:val="9"/>
        </w:rPr>
        <w:t>地及厂房租赁合同</w:t>
      </w:r>
      <w:r>
        <w:rPr>
          <w:spacing w:val="9"/>
          <w:sz w:val="30"/>
          <w:szCs w:val="30"/>
        </w:rPr>
        <w:t>》后，履约保证金按约定不计利息地转至经济</w:t>
      </w:r>
      <w:r>
        <w:rPr>
          <w:spacing w:val="7"/>
          <w:sz w:val="30"/>
          <w:szCs w:val="30"/>
        </w:rPr>
        <w:t xml:space="preserve">  联合社指定账户。</w:t>
      </w:r>
    </w:p>
    <w:p w14:paraId="4609F251">
      <w:pPr>
        <w:pStyle w:val="2"/>
        <w:spacing w:before="125" w:line="221" w:lineRule="auto"/>
        <w:ind w:left="664"/>
        <w:outlineLvl w:val="1"/>
      </w:pPr>
      <w:r>
        <w:rPr>
          <w:b/>
          <w:bCs/>
          <w:spacing w:val="6"/>
        </w:rPr>
        <w:t>第六条</w:t>
      </w:r>
      <w:r>
        <w:rPr>
          <w:spacing w:val="6"/>
        </w:rPr>
        <w:t xml:space="preserve"> 保证金的扣罚条款</w:t>
      </w:r>
    </w:p>
    <w:p w14:paraId="20A77223">
      <w:pPr>
        <w:pStyle w:val="2"/>
        <w:spacing w:before="59" w:line="251" w:lineRule="auto"/>
        <w:ind w:left="19" w:right="84" w:firstLine="629"/>
        <w:rPr>
          <w:sz w:val="30"/>
          <w:szCs w:val="30"/>
        </w:rPr>
      </w:pPr>
      <w:r>
        <w:rPr>
          <w:spacing w:val="6"/>
          <w:sz w:val="30"/>
          <w:szCs w:val="30"/>
        </w:rPr>
        <w:t>意向受让（承包）方或受让（承包）方存在下列情形之一的，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报名时所交的交易保证金不予返还：</w:t>
      </w:r>
    </w:p>
    <w:p w14:paraId="6B299F56">
      <w:pPr>
        <w:pStyle w:val="2"/>
        <w:spacing w:before="52" w:line="245" w:lineRule="auto"/>
        <w:ind w:left="26" w:right="319" w:firstLine="595"/>
        <w:rPr>
          <w:sz w:val="30"/>
          <w:szCs w:val="30"/>
        </w:rPr>
      </w:pPr>
      <w:r>
        <w:rPr>
          <w:spacing w:val="10"/>
          <w:sz w:val="30"/>
          <w:szCs w:val="30"/>
        </w:rPr>
        <w:t>（一）受让（承包）方竞得本项目后，拒绝</w:t>
      </w:r>
      <w:r>
        <w:rPr>
          <w:spacing w:val="9"/>
          <w:sz w:val="30"/>
          <w:szCs w:val="30"/>
        </w:rPr>
        <w:t>签订《成交确认</w:t>
      </w:r>
      <w:r>
        <w:rPr>
          <w:sz w:val="30"/>
          <w:szCs w:val="30"/>
        </w:rPr>
        <w:t xml:space="preserve"> 书》的；</w:t>
      </w:r>
    </w:p>
    <w:p w14:paraId="0C37520E">
      <w:pPr>
        <w:pStyle w:val="2"/>
        <w:spacing w:before="76" w:line="256" w:lineRule="auto"/>
        <w:ind w:left="13" w:right="84" w:firstLine="608"/>
        <w:rPr>
          <w:sz w:val="30"/>
          <w:szCs w:val="30"/>
        </w:rPr>
      </w:pPr>
      <w:r>
        <w:rPr>
          <w:spacing w:val="10"/>
          <w:sz w:val="30"/>
          <w:szCs w:val="30"/>
        </w:rPr>
        <w:t>（二）受让（承包）方在交易结果公示结束</w:t>
      </w:r>
      <w:r>
        <w:rPr>
          <w:spacing w:val="9"/>
          <w:sz w:val="30"/>
          <w:szCs w:val="30"/>
        </w:rPr>
        <w:t>后，因受让（承</w:t>
      </w:r>
      <w:r>
        <w:rPr>
          <w:sz w:val="30"/>
          <w:szCs w:val="30"/>
        </w:rPr>
        <w:t xml:space="preserve">  </w:t>
      </w:r>
      <w:r>
        <w:rPr>
          <w:spacing w:val="7"/>
          <w:sz w:val="30"/>
          <w:szCs w:val="30"/>
        </w:rPr>
        <w:t>租）方原因未在规定的时间内签订合同的（在交易</w:t>
      </w:r>
      <w:r>
        <w:rPr>
          <w:spacing w:val="6"/>
          <w:sz w:val="30"/>
          <w:szCs w:val="30"/>
        </w:rPr>
        <w:t>结果公示期间，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有人对交易程序或受让（承包）方资质资格提出异议或投诉，正</w:t>
      </w:r>
      <w:r>
        <w:rPr>
          <w:spacing w:val="4"/>
          <w:sz w:val="30"/>
          <w:szCs w:val="30"/>
        </w:rPr>
        <w:t xml:space="preserve">  </w:t>
      </w:r>
      <w:r>
        <w:rPr>
          <w:spacing w:val="8"/>
          <w:sz w:val="30"/>
          <w:szCs w:val="30"/>
        </w:rPr>
        <w:t>在核实相关情况的除外</w:t>
      </w:r>
      <w:r>
        <w:rPr>
          <w:sz w:val="30"/>
          <w:szCs w:val="30"/>
        </w:rPr>
        <w:t>）；</w:t>
      </w:r>
    </w:p>
    <w:p w14:paraId="6435A103">
      <w:pPr>
        <w:pStyle w:val="2"/>
        <w:spacing w:before="78" w:line="243" w:lineRule="auto"/>
        <w:ind w:left="643" w:right="2866" w:hanging="22"/>
        <w:rPr>
          <w:sz w:val="30"/>
          <w:szCs w:val="30"/>
        </w:rPr>
      </w:pPr>
      <w:r>
        <w:rPr>
          <w:spacing w:val="5"/>
          <w:sz w:val="30"/>
          <w:szCs w:val="30"/>
        </w:rPr>
        <w:t>（三）其他违反法律法规规定的情形的。</w:t>
      </w:r>
      <w:r>
        <w:rPr>
          <w:spacing w:val="16"/>
          <w:sz w:val="30"/>
          <w:szCs w:val="30"/>
        </w:rPr>
        <w:t xml:space="preserve"> </w:t>
      </w:r>
      <w:r>
        <w:rPr>
          <w:b/>
          <w:bCs/>
          <w:spacing w:val="2"/>
          <w:sz w:val="30"/>
          <w:szCs w:val="30"/>
        </w:rPr>
        <w:t>第七条</w:t>
      </w:r>
      <w:r>
        <w:rPr>
          <w:spacing w:val="36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交易服务费</w:t>
      </w:r>
    </w:p>
    <w:p w14:paraId="55D42DE7">
      <w:pPr>
        <w:pStyle w:val="2"/>
        <w:spacing w:before="75" w:line="248" w:lineRule="auto"/>
        <w:ind w:left="11" w:right="156" w:firstLine="637"/>
        <w:jc w:val="both"/>
        <w:rPr>
          <w:sz w:val="30"/>
          <w:szCs w:val="30"/>
        </w:rPr>
      </w:pPr>
      <w:r>
        <w:rPr>
          <w:spacing w:val="5"/>
        </w:rPr>
        <w:t>本次交易流程结束，产生成交方后，按照广州农村产权交易</w:t>
      </w:r>
      <w:r>
        <w:t xml:space="preserve"> </w:t>
      </w:r>
      <w:r>
        <w:rPr>
          <w:spacing w:val="-6"/>
        </w:rPr>
        <w:t>所有限公司相关收费标准向竞得人（成交方）收取交易服务费（服</w:t>
      </w:r>
      <w:r>
        <w:rPr>
          <w:spacing w:val="10"/>
        </w:rPr>
        <w:t xml:space="preserve"> </w:t>
      </w:r>
      <w:r>
        <w:rPr>
          <w:spacing w:val="9"/>
        </w:rPr>
        <w:t>务费收取不因合同执行情况发生改变）并开具服务</w:t>
      </w:r>
      <w:r>
        <w:rPr>
          <w:spacing w:val="8"/>
        </w:rPr>
        <w:t>发票</w:t>
      </w:r>
      <w:r>
        <w:rPr>
          <w:spacing w:val="8"/>
          <w:sz w:val="30"/>
          <w:szCs w:val="30"/>
        </w:rPr>
        <w:t>。</w:t>
      </w:r>
    </w:p>
    <w:p w14:paraId="6E4C4D1C">
      <w:pPr>
        <w:spacing w:line="248" w:lineRule="auto"/>
        <w:rPr>
          <w:sz w:val="30"/>
          <w:szCs w:val="30"/>
        </w:rPr>
        <w:sectPr>
          <w:pgSz w:w="11906" w:h="16839"/>
          <w:pgMar w:top="1431" w:right="1319" w:bottom="0" w:left="1591" w:header="0" w:footer="0" w:gutter="0"/>
          <w:cols w:space="720" w:num="1"/>
        </w:sectPr>
      </w:pPr>
    </w:p>
    <w:p w14:paraId="43AFA995">
      <w:pPr>
        <w:spacing w:before="28"/>
      </w:pPr>
    </w:p>
    <w:tbl>
      <w:tblPr>
        <w:tblStyle w:val="5"/>
        <w:tblW w:w="99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0"/>
        <w:gridCol w:w="2139"/>
        <w:gridCol w:w="2625"/>
      </w:tblGrid>
      <w:tr w14:paraId="5B8D3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170" w:type="dxa"/>
            <w:vAlign w:val="top"/>
          </w:tcPr>
          <w:p w14:paraId="0B6C63F9">
            <w:pPr>
              <w:spacing w:before="82" w:line="218" w:lineRule="auto"/>
              <w:ind w:left="204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交易成交额</w:t>
            </w:r>
          </w:p>
        </w:tc>
        <w:tc>
          <w:tcPr>
            <w:tcW w:w="2139" w:type="dxa"/>
            <w:vAlign w:val="top"/>
          </w:tcPr>
          <w:p w14:paraId="7BF9BD06">
            <w:pPr>
              <w:spacing w:before="83" w:line="214" w:lineRule="auto"/>
              <w:ind w:left="66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计费费率</w:t>
            </w:r>
          </w:p>
        </w:tc>
        <w:tc>
          <w:tcPr>
            <w:tcW w:w="2625" w:type="dxa"/>
            <w:vAlign w:val="top"/>
          </w:tcPr>
          <w:p w14:paraId="6DAC3D4D">
            <w:pPr>
              <w:spacing w:before="83" w:line="216" w:lineRule="auto"/>
              <w:ind w:left="118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备注</w:t>
            </w:r>
          </w:p>
        </w:tc>
      </w:tr>
      <w:tr w14:paraId="120956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170" w:type="dxa"/>
            <w:vAlign w:val="top"/>
          </w:tcPr>
          <w:p w14:paraId="2BB49412">
            <w:pPr>
              <w:pStyle w:val="6"/>
              <w:spacing w:before="80" w:line="216" w:lineRule="auto"/>
              <w:ind w:left="1111"/>
              <w:rPr>
                <w:rFonts w:ascii="FangSong_GB2312" w:hAnsi="FangSong_GB2312" w:eastAsia="FangSong_GB2312" w:cs="FangSong_GB2312"/>
              </w:rPr>
            </w:pPr>
            <w:r>
              <w:rPr>
                <w:spacing w:val="-9"/>
              </w:rPr>
              <w:t>10</w:t>
            </w:r>
            <w:r>
              <w:rPr>
                <w:spacing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</w:rPr>
              <w:t>万元以下（含</w:t>
            </w:r>
            <w:r>
              <w:rPr>
                <w:rFonts w:ascii="FangSong_GB2312" w:hAnsi="FangSong_GB2312" w:eastAsia="FangSong_GB2312" w:cs="FangSong_GB2312"/>
                <w:spacing w:val="-38"/>
              </w:rPr>
              <w:t xml:space="preserve"> </w:t>
            </w:r>
            <w:r>
              <w:rPr>
                <w:spacing w:val="-9"/>
              </w:rPr>
              <w:t>10</w:t>
            </w:r>
            <w:r>
              <w:rPr>
                <w:spacing w:val="2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</w:rPr>
              <w:t>万元）</w:t>
            </w:r>
          </w:p>
        </w:tc>
        <w:tc>
          <w:tcPr>
            <w:tcW w:w="2139" w:type="dxa"/>
            <w:vAlign w:val="top"/>
          </w:tcPr>
          <w:p w14:paraId="6169C1DB">
            <w:pPr>
              <w:pStyle w:val="6"/>
              <w:spacing w:before="124" w:line="189" w:lineRule="auto"/>
              <w:ind w:left="948"/>
            </w:pPr>
            <w:r>
              <w:rPr>
                <w:spacing w:val="-8"/>
              </w:rPr>
              <w:t>1.2%</w:t>
            </w:r>
          </w:p>
        </w:tc>
        <w:tc>
          <w:tcPr>
            <w:tcW w:w="2625" w:type="dxa"/>
            <w:vMerge w:val="restart"/>
            <w:tcBorders>
              <w:bottom w:val="nil"/>
            </w:tcBorders>
            <w:vAlign w:val="top"/>
          </w:tcPr>
          <w:p w14:paraId="46676A3B">
            <w:pPr>
              <w:spacing w:line="263" w:lineRule="auto"/>
              <w:rPr>
                <w:rFonts w:ascii="Arial"/>
                <w:sz w:val="21"/>
              </w:rPr>
            </w:pPr>
          </w:p>
          <w:p w14:paraId="77A2BEBF">
            <w:pPr>
              <w:spacing w:line="264" w:lineRule="auto"/>
              <w:rPr>
                <w:rFonts w:ascii="Arial"/>
                <w:sz w:val="21"/>
              </w:rPr>
            </w:pPr>
          </w:p>
          <w:p w14:paraId="4D67117B">
            <w:pPr>
              <w:spacing w:line="264" w:lineRule="auto"/>
              <w:rPr>
                <w:rFonts w:ascii="Arial"/>
                <w:sz w:val="21"/>
              </w:rPr>
            </w:pPr>
          </w:p>
          <w:p w14:paraId="292EA1ED">
            <w:pPr>
              <w:spacing w:line="264" w:lineRule="auto"/>
              <w:rPr>
                <w:rFonts w:ascii="Arial"/>
                <w:sz w:val="21"/>
              </w:rPr>
            </w:pPr>
          </w:p>
          <w:p w14:paraId="019C0AB0">
            <w:pPr>
              <w:spacing w:line="264" w:lineRule="auto"/>
              <w:rPr>
                <w:rFonts w:ascii="Arial"/>
                <w:sz w:val="21"/>
              </w:rPr>
            </w:pPr>
          </w:p>
          <w:p w14:paraId="15ECB867">
            <w:pPr>
              <w:spacing w:line="264" w:lineRule="auto"/>
              <w:rPr>
                <w:rFonts w:ascii="Arial"/>
                <w:sz w:val="21"/>
              </w:rPr>
            </w:pPr>
          </w:p>
          <w:p w14:paraId="195AFEAA">
            <w:pPr>
              <w:spacing w:before="91" w:line="277" w:lineRule="auto"/>
              <w:ind w:left="123" w:right="104" w:firstLine="367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交易服务费采用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8"/>
                <w:szCs w:val="28"/>
              </w:rPr>
              <w:t>差额递减累进方式</w:t>
            </w: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计算向竞得人（成交</w:t>
            </w:r>
          </w:p>
          <w:p w14:paraId="2144CC5E">
            <w:pPr>
              <w:spacing w:before="46" w:line="218" w:lineRule="auto"/>
              <w:ind w:left="7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方）收取</w:t>
            </w:r>
          </w:p>
        </w:tc>
      </w:tr>
      <w:tr w14:paraId="703C0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170" w:type="dxa"/>
            <w:vAlign w:val="top"/>
          </w:tcPr>
          <w:p w14:paraId="47043D4F">
            <w:pPr>
              <w:pStyle w:val="6"/>
              <w:spacing w:before="80" w:line="216" w:lineRule="auto"/>
              <w:ind w:left="818"/>
              <w:rPr>
                <w:rFonts w:ascii="FangSong_GB2312" w:hAnsi="FangSong_GB2312" w:eastAsia="FangSong_GB2312" w:cs="FangSong_GB2312"/>
              </w:rPr>
            </w:pPr>
            <w:r>
              <w:rPr>
                <w:spacing w:val="-5"/>
              </w:rPr>
              <w:t>10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</w:rPr>
              <w:t>万元以上</w:t>
            </w:r>
            <w:r>
              <w:rPr>
                <w:spacing w:val="-5"/>
              </w:rPr>
              <w:t>-50</w:t>
            </w:r>
            <w:r>
              <w:rPr>
                <w:spacing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</w:rPr>
              <w:t>万元（含）部分</w:t>
            </w:r>
          </w:p>
        </w:tc>
        <w:tc>
          <w:tcPr>
            <w:tcW w:w="2139" w:type="dxa"/>
            <w:vAlign w:val="top"/>
          </w:tcPr>
          <w:p w14:paraId="49D7ED85">
            <w:pPr>
              <w:pStyle w:val="6"/>
              <w:spacing w:before="124" w:line="189" w:lineRule="auto"/>
              <w:ind w:left="1053"/>
            </w:pPr>
            <w:r>
              <w:rPr>
                <w:spacing w:val="-16"/>
              </w:rPr>
              <w:t>1%</w:t>
            </w:r>
          </w:p>
        </w:tc>
        <w:tc>
          <w:tcPr>
            <w:tcW w:w="2625" w:type="dxa"/>
            <w:vMerge w:val="continue"/>
            <w:tcBorders>
              <w:top w:val="nil"/>
              <w:bottom w:val="nil"/>
            </w:tcBorders>
            <w:vAlign w:val="top"/>
          </w:tcPr>
          <w:p w14:paraId="239DC273">
            <w:pPr>
              <w:rPr>
                <w:rFonts w:ascii="Arial"/>
                <w:sz w:val="21"/>
              </w:rPr>
            </w:pPr>
          </w:p>
        </w:tc>
      </w:tr>
      <w:tr w14:paraId="0B8AE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170" w:type="dxa"/>
            <w:vAlign w:val="top"/>
          </w:tcPr>
          <w:p w14:paraId="459CFEB8">
            <w:pPr>
              <w:pStyle w:val="6"/>
              <w:spacing w:before="83" w:line="216" w:lineRule="auto"/>
              <w:ind w:left="729"/>
              <w:rPr>
                <w:rFonts w:ascii="FangSong_GB2312" w:hAnsi="FangSong_GB2312" w:eastAsia="FangSong_GB2312" w:cs="FangSong_GB2312"/>
              </w:rPr>
            </w:pPr>
            <w:r>
              <w:rPr>
                <w:spacing w:val="-4"/>
              </w:rPr>
              <w:t>50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</w:rPr>
              <w:t>万元部分</w:t>
            </w:r>
            <w:r>
              <w:rPr>
                <w:spacing w:val="-4"/>
              </w:rPr>
              <w:t>-100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</w:rPr>
              <w:t>万元（含）部分</w:t>
            </w:r>
          </w:p>
        </w:tc>
        <w:tc>
          <w:tcPr>
            <w:tcW w:w="2139" w:type="dxa"/>
            <w:vAlign w:val="top"/>
          </w:tcPr>
          <w:p w14:paraId="6A8090D1">
            <w:pPr>
              <w:pStyle w:val="6"/>
              <w:spacing w:before="127" w:line="189" w:lineRule="auto"/>
              <w:ind w:left="925"/>
            </w:pPr>
            <w:r>
              <w:rPr>
                <w:spacing w:val="-3"/>
              </w:rPr>
              <w:t>0.8%</w:t>
            </w:r>
          </w:p>
        </w:tc>
        <w:tc>
          <w:tcPr>
            <w:tcW w:w="2625" w:type="dxa"/>
            <w:vMerge w:val="continue"/>
            <w:tcBorders>
              <w:top w:val="nil"/>
              <w:bottom w:val="nil"/>
            </w:tcBorders>
            <w:vAlign w:val="top"/>
          </w:tcPr>
          <w:p w14:paraId="5FE82C41">
            <w:pPr>
              <w:rPr>
                <w:rFonts w:ascii="Arial"/>
                <w:sz w:val="21"/>
              </w:rPr>
            </w:pPr>
          </w:p>
        </w:tc>
      </w:tr>
      <w:tr w14:paraId="499BF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70" w:type="dxa"/>
            <w:vAlign w:val="top"/>
          </w:tcPr>
          <w:p w14:paraId="670F466F">
            <w:pPr>
              <w:pStyle w:val="6"/>
              <w:spacing w:before="83" w:line="216" w:lineRule="auto"/>
              <w:ind w:left="679"/>
              <w:rPr>
                <w:rFonts w:ascii="FangSong_GB2312" w:hAnsi="FangSong_GB2312" w:eastAsia="FangSong_GB2312" w:cs="FangSong_GB2312"/>
              </w:rPr>
            </w:pPr>
            <w:r>
              <w:rPr>
                <w:spacing w:val="-5"/>
              </w:rPr>
              <w:t>100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</w:rPr>
              <w:t>万元以上</w:t>
            </w:r>
            <w:r>
              <w:rPr>
                <w:spacing w:val="-5"/>
              </w:rPr>
              <w:t>-500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</w:rPr>
              <w:t>万元（含）部分</w:t>
            </w:r>
          </w:p>
        </w:tc>
        <w:tc>
          <w:tcPr>
            <w:tcW w:w="2139" w:type="dxa"/>
            <w:vAlign w:val="top"/>
          </w:tcPr>
          <w:p w14:paraId="4DB6B179">
            <w:pPr>
              <w:pStyle w:val="6"/>
              <w:spacing w:before="127" w:line="189" w:lineRule="auto"/>
              <w:ind w:left="925"/>
            </w:pPr>
            <w:r>
              <w:rPr>
                <w:spacing w:val="-3"/>
              </w:rPr>
              <w:t>0.6%</w:t>
            </w:r>
          </w:p>
        </w:tc>
        <w:tc>
          <w:tcPr>
            <w:tcW w:w="2625" w:type="dxa"/>
            <w:vMerge w:val="continue"/>
            <w:tcBorders>
              <w:top w:val="nil"/>
              <w:bottom w:val="nil"/>
            </w:tcBorders>
            <w:vAlign w:val="top"/>
          </w:tcPr>
          <w:p w14:paraId="0C69FD5B">
            <w:pPr>
              <w:rPr>
                <w:rFonts w:ascii="Arial"/>
                <w:sz w:val="21"/>
              </w:rPr>
            </w:pPr>
          </w:p>
        </w:tc>
      </w:tr>
      <w:tr w14:paraId="6DF97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70" w:type="dxa"/>
            <w:vAlign w:val="top"/>
          </w:tcPr>
          <w:p w14:paraId="4F9F458A">
            <w:pPr>
              <w:pStyle w:val="6"/>
              <w:spacing w:before="82" w:line="216" w:lineRule="auto"/>
              <w:ind w:left="590"/>
              <w:rPr>
                <w:rFonts w:ascii="FangSong_GB2312" w:hAnsi="FangSong_GB2312" w:eastAsia="FangSong_GB2312" w:cs="FangSong_GB2312"/>
              </w:rPr>
            </w:pPr>
            <w:r>
              <w:rPr>
                <w:spacing w:val="-4"/>
              </w:rPr>
              <w:t>500</w:t>
            </w:r>
            <w:r>
              <w:rPr>
                <w:spacing w:val="3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</w:rPr>
              <w:t>万元以上</w:t>
            </w:r>
            <w:r>
              <w:rPr>
                <w:spacing w:val="-4"/>
              </w:rPr>
              <w:t>-1000</w:t>
            </w:r>
            <w:r>
              <w:rPr>
                <w:spacing w:val="2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</w:rPr>
              <w:t>万元（含）部分</w:t>
            </w:r>
          </w:p>
        </w:tc>
        <w:tc>
          <w:tcPr>
            <w:tcW w:w="2139" w:type="dxa"/>
            <w:vAlign w:val="top"/>
          </w:tcPr>
          <w:p w14:paraId="78F36A15">
            <w:pPr>
              <w:pStyle w:val="6"/>
              <w:spacing w:before="128" w:line="189" w:lineRule="auto"/>
              <w:ind w:left="925"/>
            </w:pPr>
            <w:r>
              <w:rPr>
                <w:spacing w:val="-3"/>
              </w:rPr>
              <w:t>0.4%</w:t>
            </w:r>
          </w:p>
        </w:tc>
        <w:tc>
          <w:tcPr>
            <w:tcW w:w="2625" w:type="dxa"/>
            <w:vMerge w:val="continue"/>
            <w:tcBorders>
              <w:top w:val="nil"/>
              <w:bottom w:val="nil"/>
            </w:tcBorders>
            <w:vAlign w:val="top"/>
          </w:tcPr>
          <w:p w14:paraId="629A2593">
            <w:pPr>
              <w:rPr>
                <w:rFonts w:ascii="Arial"/>
                <w:sz w:val="21"/>
              </w:rPr>
            </w:pPr>
          </w:p>
        </w:tc>
      </w:tr>
      <w:tr w14:paraId="21659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70" w:type="dxa"/>
            <w:vAlign w:val="top"/>
          </w:tcPr>
          <w:p w14:paraId="7E46F3FD">
            <w:pPr>
              <w:pStyle w:val="6"/>
              <w:spacing w:before="83" w:line="216" w:lineRule="auto"/>
              <w:ind w:left="540"/>
              <w:rPr>
                <w:rFonts w:ascii="FangSong_GB2312" w:hAnsi="FangSong_GB2312" w:eastAsia="FangSong_GB2312" w:cs="FangSong_GB2312"/>
              </w:rPr>
            </w:pPr>
            <w:r>
              <w:rPr>
                <w:spacing w:val="-5"/>
              </w:rPr>
              <w:t>1000</w:t>
            </w:r>
            <w:r>
              <w:rPr>
                <w:spacing w:val="4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</w:rPr>
              <w:t>万元以上</w:t>
            </w:r>
            <w:r>
              <w:rPr>
                <w:spacing w:val="-5"/>
              </w:rPr>
              <w:t>-5000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</w:rPr>
              <w:t>万元（含）部分</w:t>
            </w:r>
          </w:p>
        </w:tc>
        <w:tc>
          <w:tcPr>
            <w:tcW w:w="2139" w:type="dxa"/>
            <w:vAlign w:val="top"/>
          </w:tcPr>
          <w:p w14:paraId="72A70D72">
            <w:pPr>
              <w:pStyle w:val="6"/>
              <w:spacing w:before="127" w:line="189" w:lineRule="auto"/>
              <w:ind w:left="925"/>
            </w:pPr>
            <w:r>
              <w:rPr>
                <w:spacing w:val="-3"/>
              </w:rPr>
              <w:t>0.2%</w:t>
            </w:r>
          </w:p>
        </w:tc>
        <w:tc>
          <w:tcPr>
            <w:tcW w:w="2625" w:type="dxa"/>
            <w:vMerge w:val="continue"/>
            <w:tcBorders>
              <w:top w:val="nil"/>
              <w:bottom w:val="nil"/>
            </w:tcBorders>
            <w:vAlign w:val="top"/>
          </w:tcPr>
          <w:p w14:paraId="3CE9CD06">
            <w:pPr>
              <w:rPr>
                <w:rFonts w:ascii="Arial"/>
                <w:sz w:val="21"/>
              </w:rPr>
            </w:pPr>
          </w:p>
        </w:tc>
      </w:tr>
      <w:tr w14:paraId="37D16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70" w:type="dxa"/>
            <w:vAlign w:val="top"/>
          </w:tcPr>
          <w:p w14:paraId="755EFE12">
            <w:pPr>
              <w:pStyle w:val="6"/>
              <w:spacing w:before="82" w:line="216" w:lineRule="auto"/>
              <w:ind w:left="729"/>
              <w:rPr>
                <w:rFonts w:ascii="FangSong_GB2312" w:hAnsi="FangSong_GB2312" w:eastAsia="FangSong_GB2312" w:cs="FangSong_GB2312"/>
              </w:rPr>
            </w:pPr>
            <w:r>
              <w:rPr>
                <w:spacing w:val="-4"/>
              </w:rPr>
              <w:t>5000</w:t>
            </w:r>
            <w:r>
              <w:rPr>
                <w:spacing w:val="36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</w:rPr>
              <w:t>万元以上</w:t>
            </w:r>
            <w:r>
              <w:rPr>
                <w:spacing w:val="-4"/>
              </w:rPr>
              <w:t>-1</w:t>
            </w:r>
            <w:r>
              <w:rPr>
                <w:spacing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</w:rPr>
              <w:t>亿元（含）部分</w:t>
            </w:r>
          </w:p>
        </w:tc>
        <w:tc>
          <w:tcPr>
            <w:tcW w:w="2139" w:type="dxa"/>
            <w:vAlign w:val="top"/>
          </w:tcPr>
          <w:p w14:paraId="0FACD9BF">
            <w:pPr>
              <w:pStyle w:val="6"/>
              <w:spacing w:before="126" w:line="189" w:lineRule="auto"/>
              <w:ind w:left="925"/>
            </w:pPr>
            <w:r>
              <w:rPr>
                <w:spacing w:val="-11"/>
              </w:rPr>
              <w:t>0.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1%</w:t>
            </w:r>
          </w:p>
        </w:tc>
        <w:tc>
          <w:tcPr>
            <w:tcW w:w="2625" w:type="dxa"/>
            <w:vMerge w:val="continue"/>
            <w:tcBorders>
              <w:top w:val="nil"/>
              <w:bottom w:val="nil"/>
            </w:tcBorders>
            <w:vAlign w:val="top"/>
          </w:tcPr>
          <w:p w14:paraId="6B753556">
            <w:pPr>
              <w:rPr>
                <w:rFonts w:ascii="Arial"/>
                <w:sz w:val="21"/>
              </w:rPr>
            </w:pPr>
          </w:p>
        </w:tc>
      </w:tr>
      <w:tr w14:paraId="6CA89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170" w:type="dxa"/>
            <w:vAlign w:val="top"/>
          </w:tcPr>
          <w:p w14:paraId="5BC2C362">
            <w:pPr>
              <w:pStyle w:val="6"/>
              <w:spacing w:before="83" w:line="216" w:lineRule="auto"/>
              <w:ind w:left="888"/>
              <w:rPr>
                <w:rFonts w:ascii="FangSong_GB2312" w:hAnsi="FangSong_GB2312" w:eastAsia="FangSong_GB2312" w:cs="FangSong_GB2312"/>
              </w:rPr>
            </w:pPr>
            <w:r>
              <w:rPr>
                <w:spacing w:val="-5"/>
              </w:rPr>
              <w:t>1</w:t>
            </w:r>
            <w:r>
              <w:rPr>
                <w:spacing w:val="2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</w:rPr>
              <w:t>亿元以上</w:t>
            </w:r>
            <w:r>
              <w:rPr>
                <w:spacing w:val="-5"/>
              </w:rPr>
              <w:t>-10</w:t>
            </w:r>
            <w:r>
              <w:rPr>
                <w:spacing w:val="1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</w:rPr>
              <w:t>亿元（含）部分</w:t>
            </w:r>
          </w:p>
        </w:tc>
        <w:tc>
          <w:tcPr>
            <w:tcW w:w="2139" w:type="dxa"/>
            <w:vAlign w:val="top"/>
          </w:tcPr>
          <w:p w14:paraId="41440D17">
            <w:pPr>
              <w:pStyle w:val="6"/>
              <w:spacing w:before="127" w:line="189" w:lineRule="auto"/>
              <w:ind w:left="855"/>
            </w:pPr>
            <w:r>
              <w:rPr>
                <w:spacing w:val="-2"/>
              </w:rPr>
              <w:t>0.08%</w:t>
            </w:r>
          </w:p>
        </w:tc>
        <w:tc>
          <w:tcPr>
            <w:tcW w:w="2625" w:type="dxa"/>
            <w:vMerge w:val="continue"/>
            <w:tcBorders>
              <w:top w:val="nil"/>
              <w:bottom w:val="nil"/>
            </w:tcBorders>
            <w:vAlign w:val="top"/>
          </w:tcPr>
          <w:p w14:paraId="2B82D81F">
            <w:pPr>
              <w:rPr>
                <w:rFonts w:ascii="Arial"/>
                <w:sz w:val="21"/>
              </w:rPr>
            </w:pPr>
          </w:p>
        </w:tc>
      </w:tr>
      <w:tr w14:paraId="0DD1B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170" w:type="dxa"/>
            <w:vAlign w:val="top"/>
          </w:tcPr>
          <w:p w14:paraId="0E69BA56">
            <w:pPr>
              <w:pStyle w:val="6"/>
              <w:spacing w:before="83" w:line="216" w:lineRule="auto"/>
              <w:ind w:left="818"/>
              <w:rPr>
                <w:rFonts w:ascii="FangSong_GB2312" w:hAnsi="FangSong_GB2312" w:eastAsia="FangSong_GB2312" w:cs="FangSong_GB2312"/>
              </w:rPr>
            </w:pPr>
            <w:r>
              <w:rPr>
                <w:spacing w:val="-3"/>
              </w:rPr>
              <w:t>10</w:t>
            </w:r>
            <w:r>
              <w:rPr>
                <w:spacing w:val="1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</w:rPr>
              <w:t>亿元以上</w:t>
            </w:r>
            <w:r>
              <w:rPr>
                <w:spacing w:val="-3"/>
              </w:rPr>
              <w:t xml:space="preserve">-50 </w:t>
            </w:r>
            <w:r>
              <w:rPr>
                <w:rFonts w:ascii="FangSong_GB2312" w:hAnsi="FangSong_GB2312" w:eastAsia="FangSong_GB2312" w:cs="FangSong_GB2312"/>
                <w:spacing w:val="-3"/>
              </w:rPr>
              <w:t>亿元（含）部分</w:t>
            </w:r>
          </w:p>
        </w:tc>
        <w:tc>
          <w:tcPr>
            <w:tcW w:w="2139" w:type="dxa"/>
            <w:vAlign w:val="top"/>
          </w:tcPr>
          <w:p w14:paraId="212EFF8E">
            <w:pPr>
              <w:pStyle w:val="6"/>
              <w:spacing w:before="127" w:line="189" w:lineRule="auto"/>
              <w:ind w:left="855"/>
            </w:pPr>
            <w:r>
              <w:rPr>
                <w:spacing w:val="-2"/>
              </w:rPr>
              <w:t>0.06%</w:t>
            </w:r>
          </w:p>
        </w:tc>
        <w:tc>
          <w:tcPr>
            <w:tcW w:w="2625" w:type="dxa"/>
            <w:vMerge w:val="continue"/>
            <w:tcBorders>
              <w:top w:val="nil"/>
            </w:tcBorders>
            <w:vAlign w:val="top"/>
          </w:tcPr>
          <w:p w14:paraId="2EC46879">
            <w:pPr>
              <w:rPr>
                <w:rFonts w:ascii="Arial"/>
                <w:sz w:val="21"/>
              </w:rPr>
            </w:pPr>
          </w:p>
        </w:tc>
      </w:tr>
    </w:tbl>
    <w:p w14:paraId="01495A75">
      <w:pPr>
        <w:pStyle w:val="2"/>
        <w:spacing w:before="277" w:line="219" w:lineRule="auto"/>
        <w:ind w:left="887"/>
      </w:pPr>
      <w:r>
        <w:rPr>
          <w:spacing w:val="5"/>
        </w:rPr>
        <w:t>注：超过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50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5"/>
        </w:rPr>
        <w:t>亿部分不收取费用；单个项目最低收费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600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5"/>
        </w:rPr>
        <w:t>元。</w:t>
      </w:r>
    </w:p>
    <w:p w14:paraId="50679D27">
      <w:pPr>
        <w:spacing w:line="309" w:lineRule="auto"/>
        <w:rPr>
          <w:rFonts w:ascii="Arial"/>
          <w:sz w:val="21"/>
        </w:rPr>
      </w:pPr>
    </w:p>
    <w:p w14:paraId="3AA6BD7D">
      <w:pPr>
        <w:pStyle w:val="2"/>
        <w:spacing w:before="98" w:line="256" w:lineRule="auto"/>
        <w:ind w:left="558" w:right="712" w:firstLine="637"/>
        <w:jc w:val="both"/>
        <w:rPr>
          <w:sz w:val="30"/>
          <w:szCs w:val="30"/>
        </w:rPr>
      </w:pPr>
      <w:r>
        <w:rPr>
          <w:b/>
          <w:bCs/>
          <w:spacing w:val="8"/>
          <w:sz w:val="30"/>
          <w:szCs w:val="30"/>
        </w:rPr>
        <w:t>第八条</w:t>
      </w:r>
      <w:r>
        <w:rPr>
          <w:spacing w:val="8"/>
          <w:sz w:val="30"/>
          <w:szCs w:val="30"/>
        </w:rPr>
        <w:t xml:space="preserve"> 交易标的所涉披露信息详见项目信息公告。交易程</w:t>
      </w:r>
      <w:r>
        <w:rPr>
          <w:spacing w:val="5"/>
          <w:sz w:val="30"/>
          <w:szCs w:val="30"/>
        </w:rPr>
        <w:t xml:space="preserve">  </w:t>
      </w:r>
      <w:r>
        <w:rPr>
          <w:spacing w:val="9"/>
          <w:sz w:val="30"/>
          <w:szCs w:val="30"/>
        </w:rPr>
        <w:t>序、要求等事项详见《广州农村产权交易所有限公司交易项目网</w:t>
      </w:r>
      <w:r>
        <w:rPr>
          <w:spacing w:val="16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络多次报价实施办法》等相关规定。</w:t>
      </w:r>
    </w:p>
    <w:p w14:paraId="0B3A1C32">
      <w:pPr>
        <w:spacing w:line="265" w:lineRule="auto"/>
        <w:rPr>
          <w:rFonts w:ascii="Arial"/>
          <w:sz w:val="21"/>
        </w:rPr>
      </w:pPr>
    </w:p>
    <w:p w14:paraId="752C98E3">
      <w:pPr>
        <w:spacing w:line="265" w:lineRule="auto"/>
        <w:rPr>
          <w:rFonts w:ascii="Arial"/>
          <w:sz w:val="21"/>
        </w:rPr>
      </w:pPr>
    </w:p>
    <w:p w14:paraId="64B2E475">
      <w:pPr>
        <w:spacing w:line="265" w:lineRule="auto"/>
        <w:rPr>
          <w:rFonts w:ascii="Arial"/>
          <w:sz w:val="21"/>
        </w:rPr>
      </w:pPr>
    </w:p>
    <w:p w14:paraId="5FED6A86">
      <w:pPr>
        <w:spacing w:line="265" w:lineRule="auto"/>
        <w:rPr>
          <w:rFonts w:ascii="Arial"/>
          <w:sz w:val="21"/>
        </w:rPr>
      </w:pPr>
    </w:p>
    <w:p w14:paraId="6E42BF28">
      <w:pPr>
        <w:spacing w:line="265" w:lineRule="auto"/>
        <w:rPr>
          <w:rFonts w:ascii="Arial"/>
          <w:sz w:val="21"/>
        </w:rPr>
      </w:pPr>
    </w:p>
    <w:p w14:paraId="1C644617">
      <w:pPr>
        <w:spacing w:line="265" w:lineRule="auto"/>
        <w:rPr>
          <w:rFonts w:ascii="Arial"/>
          <w:sz w:val="21"/>
        </w:rPr>
      </w:pPr>
    </w:p>
    <w:p w14:paraId="4008E29D">
      <w:pPr>
        <w:spacing w:line="266" w:lineRule="auto"/>
        <w:rPr>
          <w:rFonts w:ascii="Arial"/>
          <w:sz w:val="21"/>
        </w:rPr>
      </w:pPr>
    </w:p>
    <w:p w14:paraId="2D5446CC">
      <w:pPr>
        <w:spacing w:line="266" w:lineRule="auto"/>
        <w:rPr>
          <w:rFonts w:ascii="Arial"/>
          <w:sz w:val="21"/>
        </w:rPr>
      </w:pPr>
    </w:p>
    <w:p w14:paraId="66779E97">
      <w:pPr>
        <w:spacing w:line="266" w:lineRule="auto"/>
        <w:rPr>
          <w:rFonts w:ascii="Arial"/>
          <w:sz w:val="21"/>
        </w:rPr>
      </w:pPr>
    </w:p>
    <w:p w14:paraId="5C1783C6">
      <w:pPr>
        <w:pStyle w:val="2"/>
        <w:spacing w:before="101" w:line="270" w:lineRule="auto"/>
        <w:ind w:left="6633" w:right="592" w:hanging="1435"/>
      </w:pPr>
      <w:r>
        <w:rPr>
          <w:spacing w:val="9"/>
        </w:rPr>
        <w:t>广州农村产权交易所有限公司</w:t>
      </w:r>
      <w:r>
        <w:t xml:space="preserve"> </w:t>
      </w:r>
      <w:r>
        <w:rPr>
          <w:rFonts w:ascii="Times New Roman" w:hAnsi="Times New Roman" w:eastAsia="Times New Roman" w:cs="Times New Roman"/>
          <w:spacing w:val="-7"/>
        </w:rPr>
        <w:t>2025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年</w:t>
      </w:r>
      <w:r>
        <w:rPr>
          <w:rFonts w:hint="eastAsia" w:ascii="Times New Roman" w:hAnsi="Times New Roman" w:eastAsia="Times New Roman" w:cs="Times New Roman"/>
          <w:spacing w:val="-7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7"/>
        </w:rPr>
        <w:t>月</w:t>
      </w:r>
      <w:r>
        <w:rPr>
          <w:rFonts w:hint="eastAsia" w:ascii="Times New Roman" w:hAnsi="Times New Roman" w:eastAsia="Times New Roman" w:cs="Times New Roman"/>
          <w:spacing w:val="-7"/>
          <w:lang w:val="en-US" w:eastAsia="zh-CN"/>
        </w:rPr>
        <w:t>14</w:t>
      </w:r>
      <w:r>
        <w:rPr>
          <w:rFonts w:ascii="Times New Roman" w:hAnsi="Times New Roman" w:eastAsia="Times New Roman" w:cs="Times New Roman"/>
          <w:spacing w:val="-7"/>
        </w:rPr>
        <w:t>日</w:t>
      </w:r>
    </w:p>
    <w:p w14:paraId="351B815F">
      <w:pPr>
        <w:spacing w:line="430" w:lineRule="auto"/>
        <w:rPr>
          <w:rFonts w:ascii="Arial"/>
          <w:sz w:val="21"/>
        </w:rPr>
      </w:pPr>
    </w:p>
    <w:p w14:paraId="2D6B2A13">
      <w:pPr>
        <w:pStyle w:val="2"/>
        <w:spacing w:before="101" w:line="239" w:lineRule="auto"/>
        <w:ind w:left="3120" w:right="3925" w:hanging="2552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spacing w:val="5"/>
        </w:rPr>
        <w:t>经办人联系电话：</w:t>
      </w:r>
      <w:r>
        <w:rPr>
          <w:rFonts w:hint="eastAsia"/>
          <w:spacing w:val="5"/>
          <w:lang w:val="en-US" w:eastAsia="zh-CN"/>
        </w:rPr>
        <w:t>叶</w:t>
      </w:r>
      <w:r>
        <w:rPr>
          <w:spacing w:val="5"/>
        </w:rPr>
        <w:t>先生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020-89160</w:t>
      </w:r>
      <w:r>
        <w:rPr>
          <w:rFonts w:hint="eastAsia" w:ascii="Times New Roman" w:hAnsi="Times New Roman" w:eastAsia="宋体" w:cs="Times New Roman"/>
          <w:spacing w:val="5"/>
          <w:lang w:val="en-US" w:eastAsia="zh-CN"/>
        </w:rPr>
        <w:t>904</w:t>
      </w:r>
      <w:r>
        <w:rPr>
          <w:rFonts w:ascii="Times New Roman" w:hAnsi="Times New Roman" w:eastAsia="Times New Roman" w:cs="Times New Roman"/>
        </w:rPr>
        <w:t xml:space="preserve"> </w:t>
      </w:r>
    </w:p>
    <w:sectPr>
      <w:pgSz w:w="11906" w:h="16839"/>
      <w:pgMar w:top="1431" w:right="926" w:bottom="0" w:left="10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8253849"/>
    <w:rsid w:val="4701680E"/>
    <w:rsid w:val="558E7910"/>
    <w:rsid w:val="5A101D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1245</Words>
  <Characters>1371</Characters>
  <TotalTime>6</TotalTime>
  <ScaleCrop>false</ScaleCrop>
  <LinksUpToDate>false</LinksUpToDate>
  <CharactersWithSpaces>1454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2025-04-01T11:51:00Z</dcterms:created>
  <dc:creator>李正纯</dc:creator>
  <cp:lastModifiedBy>叶泽鑫</cp:lastModifiedBy>
  <dcterms:modified xsi:type="dcterms:W3CDTF">2025-05-14T07:20:18Z</dcterms:modified>
  <dc:title>广 州 产 权 交 易 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2025-04-11T14:54:29Z</vt:filetime>
  </property>
  <property fmtid="{D5CDD505-2E9C-101B-9397-08002B2CF9AE}" pid="4" name="KSOTemplateDocerSaveRecord">
    <vt:lpwstr>eyJoZGlkIjoiNTJlOWZhMTRmNjE5NzFlNjU4MzZhNmUxNjA2ZmYzZDQiLCJ1c2VySWQiOiIxMDQxMTc1NDU5In0=</vt:lpwstr>
  </property>
  <property fmtid="{D5CDD505-2E9C-101B-9397-08002B2CF9AE}" pid="5" name="KSOProductBuildVer">
    <vt:lpwstr>2052-12.1.0.20784</vt:lpwstr>
  </property>
  <property fmtid="{D5CDD505-2E9C-101B-9397-08002B2CF9AE}" pid="6" name="ICV">
    <vt:lpwstr>2ECFE83FD2A546E5A326772A6DA7011E_12</vt:lpwstr>
  </property>
</Properties>
</file>