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CFFAFC">
      <w:pPr>
        <w:spacing w:line="500" w:lineRule="exact"/>
        <w:ind w:left="-424" w:leftChars="-202" w:right="-340" w:rightChars="-162"/>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rPr>
        <w:t xml:space="preserve"> 东涌镇</w:t>
      </w:r>
      <w:r>
        <w:rPr>
          <w:rFonts w:hint="eastAsia" w:ascii="宋体" w:hAnsi="宋体" w:eastAsia="宋体" w:cs="宋体"/>
          <w:b/>
          <w:bCs/>
          <w:sz w:val="44"/>
          <w:szCs w:val="44"/>
          <w:lang w:val="en-US" w:eastAsia="zh-CN"/>
        </w:rPr>
        <w:t>石基</w:t>
      </w:r>
      <w:r>
        <w:rPr>
          <w:rFonts w:hint="eastAsia" w:ascii="宋体" w:hAnsi="宋体" w:eastAsia="宋体" w:cs="宋体"/>
          <w:b/>
          <w:bCs/>
          <w:sz w:val="44"/>
          <w:szCs w:val="44"/>
        </w:rPr>
        <w:t>村</w:t>
      </w:r>
      <w:r>
        <w:rPr>
          <w:rFonts w:hint="eastAsia" w:ascii="宋体" w:hAnsi="宋体" w:eastAsia="宋体" w:cs="宋体"/>
          <w:b/>
          <w:bCs/>
          <w:color w:val="auto"/>
          <w:kern w:val="0"/>
          <w:sz w:val="44"/>
          <w:szCs w:val="44"/>
          <w:u w:val="none"/>
          <w:lang w:val="en-US" w:eastAsia="zh-CN"/>
        </w:rPr>
        <w:t>新涌北二街68号</w:t>
      </w:r>
      <w:r>
        <w:rPr>
          <w:rFonts w:hint="eastAsia" w:ascii="宋体" w:hAnsi="宋体" w:eastAsia="宋体" w:cs="宋体"/>
          <w:b/>
          <w:bCs/>
          <w:color w:val="auto"/>
          <w:kern w:val="0"/>
          <w:sz w:val="44"/>
          <w:szCs w:val="44"/>
          <w:u w:val="none"/>
        </w:rPr>
        <w:t>地块</w:t>
      </w:r>
      <w:r>
        <w:rPr>
          <w:rFonts w:hint="eastAsia" w:ascii="宋体" w:hAnsi="宋体" w:eastAsia="宋体" w:cs="宋体"/>
          <w:b/>
          <w:bCs/>
          <w:sz w:val="44"/>
          <w:szCs w:val="44"/>
        </w:rPr>
        <w:t>出租项目交易</w:t>
      </w:r>
      <w:r>
        <w:rPr>
          <w:rFonts w:hint="eastAsia" w:ascii="宋体" w:hAnsi="宋体" w:eastAsia="宋体" w:cs="宋体"/>
          <w:b/>
          <w:bCs/>
          <w:sz w:val="44"/>
          <w:szCs w:val="44"/>
          <w:lang w:val="en-US" w:eastAsia="zh-CN"/>
        </w:rPr>
        <w:t>公告</w:t>
      </w:r>
    </w:p>
    <w:p w14:paraId="19DC9215">
      <w:pPr>
        <w:spacing w:line="500" w:lineRule="exact"/>
        <w:ind w:left="-424" w:leftChars="-202" w:right="-340" w:rightChars="-162"/>
        <w:jc w:val="center"/>
        <w:rPr>
          <w:rFonts w:ascii="宋体" w:hAnsi="宋体" w:eastAsia="宋体" w:cs="宋体"/>
          <w:sz w:val="30"/>
          <w:szCs w:val="30"/>
        </w:rPr>
      </w:pPr>
    </w:p>
    <w:p w14:paraId="4FA5A779">
      <w:pPr>
        <w:spacing w:line="500" w:lineRule="exact"/>
        <w:jc w:val="center"/>
        <w:rPr>
          <w:rFonts w:hint="eastAsia" w:ascii="仿宋_GB2312" w:hAnsi="宋体" w:eastAsia="仿宋_GB2312" w:cs="宋体"/>
          <w:color w:val="auto"/>
          <w:sz w:val="30"/>
          <w:szCs w:val="30"/>
          <w:highlight w:val="none"/>
          <w:u w:val="none"/>
          <w:lang w:val="en-US" w:eastAsia="zh-CN"/>
        </w:rPr>
      </w:pPr>
      <w:r>
        <w:rPr>
          <w:rFonts w:hint="eastAsia" w:ascii="仿宋_GB2312" w:hAnsi="宋体" w:eastAsia="仿宋_GB2312" w:cs="宋体"/>
          <w:color w:val="auto"/>
          <w:sz w:val="30"/>
          <w:szCs w:val="30"/>
          <w:highlight w:val="none"/>
          <w:u w:val="none"/>
          <w:lang w:val="en-US" w:eastAsia="zh-CN"/>
        </w:rPr>
        <w:t>【前言】</w:t>
      </w:r>
    </w:p>
    <w:p w14:paraId="30AD4198">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_GB2312" w:hAnsi="宋体" w:eastAsia="仿宋_GB2312" w:cs="宋体"/>
          <w:color w:val="auto"/>
          <w:sz w:val="30"/>
          <w:szCs w:val="30"/>
          <w:highlight w:val="none"/>
          <w:u w:val="none"/>
          <w:lang w:val="en-US" w:eastAsia="zh-CN"/>
        </w:rPr>
      </w:pPr>
      <w:r>
        <w:rPr>
          <w:rFonts w:hint="eastAsia" w:ascii="仿宋_GB2312" w:hAnsi="宋体" w:eastAsia="仿宋_GB2312" w:cs="宋体"/>
          <w:color w:val="auto"/>
          <w:sz w:val="30"/>
          <w:szCs w:val="30"/>
          <w:highlight w:val="none"/>
          <w:u w:val="none"/>
          <w:lang w:val="en-US" w:eastAsia="zh-CN"/>
        </w:rPr>
        <w:t>1.本交易公告是广州农村产权交易所有限公司（简称：广州农交所）接受本项目出租方的委托而发布的。本次项目所有信息均由项目出租方以书面形式提供，由项目出租方对信息的真实性负责。</w:t>
      </w:r>
    </w:p>
    <w:p w14:paraId="24C0B7F2">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_GB2312" w:hAnsi="宋体" w:eastAsia="仿宋_GB2312" w:cs="宋体"/>
          <w:color w:val="auto"/>
          <w:sz w:val="30"/>
          <w:szCs w:val="30"/>
          <w:highlight w:val="none"/>
          <w:u w:val="none"/>
          <w:lang w:val="en-US" w:eastAsia="zh-CN"/>
        </w:rPr>
      </w:pPr>
      <w:r>
        <w:rPr>
          <w:rFonts w:hint="eastAsia" w:ascii="仿宋_GB2312" w:hAnsi="宋体" w:eastAsia="仿宋_GB2312" w:cs="宋体"/>
          <w:color w:val="auto"/>
          <w:sz w:val="30"/>
          <w:szCs w:val="30"/>
          <w:highlight w:val="none"/>
          <w:u w:val="none"/>
          <w:lang w:val="en-US" w:eastAsia="zh-CN"/>
        </w:rPr>
        <w:t>2.本项目以现状为准，本交易公告提供的本项目的说明和提供的图片资料等，仅供意向受让（承租）方参考，不构成对项目的任何担保。请意向受让（承租）方在报名参与竞价前必须仔细审查本项目的情况，调查项目的权属情况、合法性、是否存在未决的纠纷等（不限于上述情形）情况和是否存在其他瑕疵（提醒：请意向受让（承租）方务必仔细审阅本公告“项目基本情况”对“产权证及相关批准文件办理情况”的披露）。意向受让（承租）方应认真研究查看项目的实际情况，并请亲自实地看样，未看样的意向受让（承租）方视为对本项目现状的确认，意向受让（承租）方一旦作出交易报名的，即表明已完全了解，并接受项目的现状和一切已知及未知的瑕疵，责任自负，并对有关承诺承担法律责任。</w:t>
      </w:r>
    </w:p>
    <w:p w14:paraId="466E20C4">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_GB2312" w:hAnsi="宋体" w:eastAsia="仿宋_GB2312" w:cs="宋体"/>
          <w:color w:val="auto"/>
          <w:sz w:val="30"/>
          <w:szCs w:val="30"/>
          <w:highlight w:val="none"/>
          <w:u w:val="none"/>
          <w:lang w:val="en-US" w:eastAsia="zh-CN"/>
        </w:rPr>
      </w:pPr>
      <w:r>
        <w:rPr>
          <w:rFonts w:hint="eastAsia" w:ascii="仿宋_GB2312" w:hAnsi="宋体" w:eastAsia="仿宋_GB2312" w:cs="宋体"/>
          <w:color w:val="auto"/>
          <w:sz w:val="30"/>
          <w:szCs w:val="30"/>
          <w:highlight w:val="none"/>
          <w:u w:val="none"/>
          <w:lang w:val="en-US" w:eastAsia="zh-CN"/>
        </w:rPr>
        <w:t>3.广州农交所不对进场交易的项目的质量瑕疵、权属合法性瑕疵以及合同违约等风险承担法律责任。</w:t>
      </w:r>
    </w:p>
    <w:p w14:paraId="2CBBE967">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_GB2312" w:hAnsi="宋体" w:eastAsia="仿宋_GB2312" w:cs="宋体"/>
          <w:color w:val="auto"/>
          <w:sz w:val="30"/>
          <w:szCs w:val="30"/>
          <w:highlight w:val="none"/>
          <w:u w:val="none"/>
          <w:lang w:val="en-US" w:eastAsia="zh-CN"/>
        </w:rPr>
      </w:pPr>
    </w:p>
    <w:p w14:paraId="0533C306">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_GB2312" w:hAnsi="宋体" w:eastAsia="仿宋_GB2312" w:cs="宋体"/>
          <w:color w:val="auto"/>
          <w:sz w:val="30"/>
          <w:szCs w:val="30"/>
          <w:highlight w:val="none"/>
          <w:u w:val="none"/>
          <w:lang w:val="en-US" w:eastAsia="zh-CN"/>
        </w:rPr>
      </w:pPr>
      <w:r>
        <w:rPr>
          <w:rFonts w:hint="eastAsia" w:ascii="仿宋_GB2312" w:hAnsi="宋体" w:eastAsia="仿宋_GB2312" w:cs="宋体"/>
          <w:color w:val="auto"/>
          <w:sz w:val="30"/>
          <w:szCs w:val="30"/>
          <w:highlight w:val="none"/>
          <w:u w:val="none"/>
          <w:lang w:val="en-US" w:eastAsia="zh-CN"/>
        </w:rPr>
        <w:t>广州农交所受广州市南沙区东涌镇石基股份合作经济联合社委托，按照《广州农村产权交易所有限公司农村集体资产交易规则(试行)》的规定，对东涌镇石基村新涌北二街68号地块出租项目组织公开竞价，欢迎符合资格条件的意向受让（承租）方参与竞价。</w:t>
      </w:r>
    </w:p>
    <w:p w14:paraId="53B9D2A6">
      <w:pPr>
        <w:spacing w:line="520" w:lineRule="exact"/>
        <w:ind w:firstLine="562" w:firstLineChars="200"/>
        <w:rPr>
          <w:rFonts w:hint="eastAsia" w:ascii="宋体" w:hAnsi="宋体" w:eastAsia="宋体" w:cs="宋体"/>
          <w:b/>
          <w:bCs/>
          <w:sz w:val="28"/>
          <w:szCs w:val="28"/>
          <w14:ligatures w14:val="none"/>
        </w:rPr>
      </w:pPr>
      <w:r>
        <w:rPr>
          <w:rFonts w:hint="eastAsia" w:ascii="宋体" w:hAnsi="宋体" w:eastAsia="宋体" w:cs="宋体"/>
          <w:b/>
          <w:bCs/>
          <w:sz w:val="28"/>
          <w:szCs w:val="28"/>
          <w14:ligatures w14:val="none"/>
        </w:rPr>
        <w:t>一、项目基本情况</w:t>
      </w:r>
    </w:p>
    <w:p w14:paraId="1AD31395">
      <w:pPr>
        <w:spacing w:line="520" w:lineRule="exact"/>
        <w:ind w:firstLine="560" w:firstLineChars="200"/>
        <w:rPr>
          <w:rFonts w:hint="eastAsia" w:ascii="宋体" w:hAnsi="宋体" w:eastAsia="宋体" w:cs="宋体"/>
          <w:sz w:val="28"/>
          <w:szCs w:val="28"/>
          <w14:ligatures w14:val="none"/>
        </w:rPr>
      </w:pPr>
      <w:r>
        <w:rPr>
          <w:rFonts w:hint="eastAsia" w:ascii="宋体" w:hAnsi="宋体" w:eastAsia="宋体" w:cs="宋体"/>
          <w:sz w:val="28"/>
          <w:szCs w:val="28"/>
          <w14:ligatures w14:val="none"/>
        </w:rPr>
        <w:t>（一）资产名称：</w:t>
      </w:r>
      <w:bookmarkStart w:id="0" w:name="OLE_LINK12"/>
      <w:bookmarkStart w:id="1" w:name="OLE_LINK1"/>
      <w:r>
        <w:rPr>
          <w:rFonts w:hint="eastAsia" w:ascii="宋体" w:hAnsi="宋体" w:eastAsia="宋体" w:cs="宋体"/>
          <w:sz w:val="28"/>
          <w:szCs w:val="28"/>
          <w:u w:val="single"/>
          <w:lang w:val="en-US" w:eastAsia="zh-CN"/>
          <w14:ligatures w14:val="none"/>
        </w:rPr>
        <w:t>石基村新涌北二街68号</w:t>
      </w:r>
      <w:r>
        <w:rPr>
          <w:rFonts w:hint="eastAsia" w:ascii="宋体" w:hAnsi="宋体" w:eastAsia="宋体" w:cs="宋体"/>
          <w:sz w:val="28"/>
          <w:szCs w:val="28"/>
          <w:u w:val="single"/>
          <w14:ligatures w14:val="none"/>
        </w:rPr>
        <w:t>地块</w:t>
      </w:r>
      <w:bookmarkEnd w:id="0"/>
      <w:bookmarkEnd w:id="1"/>
      <w:r>
        <w:rPr>
          <w:rFonts w:hint="eastAsia" w:ascii="宋体" w:hAnsi="宋体" w:eastAsia="宋体" w:cs="宋体"/>
          <w:sz w:val="28"/>
          <w:szCs w:val="28"/>
          <w14:ligatures w14:val="none"/>
        </w:rPr>
        <w:t>；</w:t>
      </w:r>
    </w:p>
    <w:p w14:paraId="2EA2F679">
      <w:pPr>
        <w:spacing w:line="520" w:lineRule="exact"/>
        <w:ind w:firstLine="560" w:firstLineChars="200"/>
        <w:rPr>
          <w:rFonts w:hint="eastAsia" w:ascii="宋体" w:hAnsi="宋体" w:eastAsia="宋体" w:cs="宋体"/>
          <w:sz w:val="28"/>
          <w:szCs w:val="28"/>
          <w14:ligatures w14:val="none"/>
        </w:rPr>
      </w:pPr>
      <w:r>
        <w:rPr>
          <w:rFonts w:hint="eastAsia" w:ascii="宋体" w:hAnsi="宋体" w:eastAsia="宋体" w:cs="宋体"/>
          <w:sz w:val="28"/>
          <w:szCs w:val="28"/>
          <w14:ligatures w14:val="none"/>
        </w:rPr>
        <w:t>（二）资产类型：</w:t>
      </w:r>
      <w:bookmarkStart w:id="2" w:name="OLE_LINK19"/>
      <w:r>
        <w:rPr>
          <w:rFonts w:hint="eastAsia" w:ascii="宋体" w:hAnsi="宋体" w:eastAsia="宋体" w:cs="宋体"/>
          <w:sz w:val="28"/>
          <w:szCs w:val="28"/>
          <w:u w:val="single"/>
          <w:lang w:val="en-US" w:eastAsia="zh-CN"/>
          <w14:ligatures w14:val="none"/>
        </w:rPr>
        <w:t>工业用地</w:t>
      </w:r>
      <w:bookmarkEnd w:id="2"/>
      <w:r>
        <w:rPr>
          <w:rFonts w:hint="eastAsia" w:ascii="宋体" w:hAnsi="宋体" w:eastAsia="宋体" w:cs="宋体"/>
          <w:sz w:val="28"/>
          <w:szCs w:val="28"/>
          <w14:ligatures w14:val="none"/>
        </w:rPr>
        <w:t>；</w:t>
      </w:r>
    </w:p>
    <w:p w14:paraId="3CD65467">
      <w:pPr>
        <w:spacing w:line="520" w:lineRule="exact"/>
        <w:ind w:firstLine="560" w:firstLineChars="200"/>
        <w:rPr>
          <w:rFonts w:hint="eastAsia" w:ascii="宋体" w:hAnsi="宋体" w:eastAsia="宋体" w:cs="宋体"/>
          <w:sz w:val="28"/>
          <w:szCs w:val="28"/>
          <w14:ligatures w14:val="none"/>
        </w:rPr>
      </w:pPr>
      <w:r>
        <w:rPr>
          <w:rFonts w:hint="eastAsia" w:ascii="宋体" w:hAnsi="宋体" w:eastAsia="宋体" w:cs="宋体"/>
          <w:sz w:val="28"/>
          <w:szCs w:val="28"/>
          <w14:ligatures w14:val="none"/>
        </w:rPr>
        <w:t>（三）资产地址：</w:t>
      </w:r>
      <w:bookmarkStart w:id="3" w:name="OLE_LINK17"/>
      <w:r>
        <w:rPr>
          <w:rFonts w:hint="eastAsia" w:ascii="宋体" w:hAnsi="宋体" w:eastAsia="宋体" w:cs="宋体"/>
          <w:sz w:val="28"/>
          <w:szCs w:val="28"/>
          <w:u w:val="single"/>
          <w:lang w:val="en-US" w:eastAsia="zh-CN"/>
          <w14:ligatures w14:val="none"/>
        </w:rPr>
        <w:t>石基村新涌北二街68号</w:t>
      </w:r>
      <w:bookmarkEnd w:id="3"/>
      <w:r>
        <w:rPr>
          <w:rFonts w:hint="eastAsia" w:ascii="宋体" w:hAnsi="宋体" w:eastAsia="宋体" w:cs="宋体"/>
          <w:sz w:val="28"/>
          <w:szCs w:val="28"/>
          <w14:ligatures w14:val="none"/>
        </w:rPr>
        <w:t>；</w:t>
      </w:r>
    </w:p>
    <w:p w14:paraId="0570C219">
      <w:pPr>
        <w:widowControl/>
        <w:spacing w:line="520" w:lineRule="exact"/>
        <w:ind w:firstLine="560" w:firstLineChars="200"/>
        <w:jc w:val="left"/>
        <w:rPr>
          <w:rFonts w:hint="eastAsia" w:ascii="宋体" w:hAnsi="宋体" w:eastAsia="宋体" w:cs="宋体"/>
          <w:sz w:val="28"/>
          <w:szCs w:val="28"/>
          <w14:ligatures w14:val="none"/>
        </w:rPr>
      </w:pPr>
      <w:r>
        <w:rPr>
          <w:rFonts w:hint="eastAsia" w:ascii="宋体" w:hAnsi="宋体" w:eastAsia="宋体" w:cs="宋体"/>
          <w:sz w:val="28"/>
          <w:szCs w:val="28"/>
          <w14:ligatures w14:val="none"/>
        </w:rPr>
        <w:t>（四）交易面积：</w:t>
      </w:r>
      <w:r>
        <w:rPr>
          <w:rFonts w:hint="eastAsia" w:ascii="宋体" w:hAnsi="宋体" w:eastAsia="宋体" w:cs="宋体"/>
          <w:sz w:val="28"/>
          <w:szCs w:val="28"/>
          <w:u w:val="single"/>
          <w:lang w:val="en-US" w:eastAsia="zh-CN"/>
          <w14:ligatures w14:val="none"/>
        </w:rPr>
        <w:t>用地面积5423.69</w:t>
      </w:r>
      <w:r>
        <w:rPr>
          <w:rFonts w:hint="eastAsia" w:ascii="宋体" w:hAnsi="宋体" w:eastAsia="宋体" w:cs="宋体"/>
          <w:sz w:val="28"/>
          <w:szCs w:val="28"/>
          <w:u w:val="single"/>
          <w14:ligatures w14:val="none"/>
        </w:rPr>
        <w:t>平方米</w:t>
      </w:r>
      <w:r>
        <w:rPr>
          <w:rFonts w:hint="eastAsia" w:ascii="宋体" w:hAnsi="宋体" w:eastAsia="宋体" w:cs="宋体"/>
          <w:sz w:val="28"/>
          <w:szCs w:val="28"/>
          <w:u w:val="single"/>
          <w:lang w:eastAsia="zh-CN"/>
          <w14:ligatures w14:val="none"/>
        </w:rPr>
        <w:t>，</w:t>
      </w:r>
      <w:r>
        <w:rPr>
          <w:rFonts w:hint="eastAsia" w:ascii="宋体" w:hAnsi="宋体" w:eastAsia="宋体" w:cs="宋体"/>
          <w:sz w:val="28"/>
          <w:szCs w:val="28"/>
          <w:u w:val="single"/>
          <w:lang w:val="en-US" w:eastAsia="zh-CN"/>
          <w14:ligatures w14:val="none"/>
        </w:rPr>
        <w:t>其中建筑物</w:t>
      </w:r>
      <w:r>
        <w:rPr>
          <w:rFonts w:hint="eastAsia" w:ascii="宋体" w:hAnsi="宋体" w:eastAsia="宋体" w:cs="宋体"/>
          <w:sz w:val="28"/>
          <w:szCs w:val="28"/>
          <w:u w:val="single"/>
          <w14:ligatures w14:val="none"/>
        </w:rPr>
        <w:t>详查面积共计</w:t>
      </w:r>
      <w:r>
        <w:rPr>
          <w:rFonts w:hint="eastAsia" w:ascii="宋体" w:hAnsi="宋体" w:eastAsia="宋体" w:cs="宋体"/>
          <w:sz w:val="28"/>
          <w:szCs w:val="28"/>
          <w:u w:val="single"/>
          <w:lang w:val="en-US" w:eastAsia="zh-CN"/>
          <w14:ligatures w14:val="none"/>
        </w:rPr>
        <w:t>2400.9</w:t>
      </w:r>
      <w:r>
        <w:rPr>
          <w:rFonts w:hint="eastAsia" w:ascii="宋体" w:hAnsi="宋体" w:eastAsia="宋体" w:cs="宋体"/>
          <w:sz w:val="28"/>
          <w:szCs w:val="28"/>
          <w:u w:val="single"/>
          <w14:ligatures w14:val="none"/>
        </w:rPr>
        <w:t>平方米</w:t>
      </w:r>
      <w:r>
        <w:rPr>
          <w:rFonts w:hint="eastAsia" w:ascii="宋体" w:hAnsi="宋体" w:eastAsia="宋体" w:cs="宋体"/>
          <w:sz w:val="28"/>
          <w:szCs w:val="28"/>
          <w:u w:val="single"/>
          <w:lang w:val="en-US" w:eastAsia="zh-CN"/>
          <w14:ligatures w14:val="none"/>
        </w:rPr>
        <w:t>,</w:t>
      </w:r>
      <w:r>
        <w:rPr>
          <w:rFonts w:hint="eastAsia" w:ascii="宋体" w:hAnsi="宋体" w:eastAsia="宋体" w:cs="宋体"/>
          <w:sz w:val="28"/>
          <w:szCs w:val="28"/>
          <w:u w:val="single"/>
          <w14:ligatures w14:val="none"/>
        </w:rPr>
        <w:t>空地面积</w:t>
      </w:r>
      <w:r>
        <w:rPr>
          <w:rFonts w:hint="eastAsia" w:ascii="宋体" w:hAnsi="宋体" w:eastAsia="宋体" w:cs="宋体"/>
          <w:sz w:val="28"/>
          <w:szCs w:val="28"/>
          <w:u w:val="single"/>
          <w:lang w:val="en-US" w:eastAsia="zh-CN"/>
          <w14:ligatures w14:val="none"/>
        </w:rPr>
        <w:t>3022.79</w:t>
      </w:r>
      <w:r>
        <w:rPr>
          <w:rFonts w:hint="eastAsia" w:ascii="宋体" w:hAnsi="宋体" w:eastAsia="宋体" w:cs="宋体"/>
          <w:sz w:val="28"/>
          <w:szCs w:val="28"/>
          <w:u w:val="single"/>
          <w:lang w:eastAsia="zh-CN"/>
          <w14:ligatures w14:val="none"/>
        </w:rPr>
        <w:t>平方米</w:t>
      </w:r>
      <w:r>
        <w:rPr>
          <w:rFonts w:hint="eastAsia" w:ascii="宋体" w:hAnsi="宋体" w:eastAsia="宋体" w:cs="宋体"/>
          <w:sz w:val="28"/>
          <w:szCs w:val="28"/>
          <w:u w:val="single"/>
          <w:lang w:val="en-US" w:eastAsia="zh-CN"/>
          <w14:ligatures w14:val="none"/>
        </w:rPr>
        <w:t>（附测量图）</w:t>
      </w:r>
      <w:r>
        <w:rPr>
          <w:rFonts w:hint="eastAsia" w:ascii="宋体" w:hAnsi="宋体" w:eastAsia="宋体" w:cs="宋体"/>
          <w:sz w:val="28"/>
          <w:szCs w:val="28"/>
          <w14:ligatures w14:val="none"/>
        </w:rPr>
        <w:t>；</w:t>
      </w:r>
    </w:p>
    <w:p w14:paraId="51D2E1EB">
      <w:pPr>
        <w:widowControl/>
        <w:spacing w:line="520" w:lineRule="exact"/>
        <w:ind w:firstLine="560" w:firstLineChars="200"/>
        <w:jc w:val="left"/>
        <w:rPr>
          <w:rFonts w:hint="eastAsia" w:ascii="宋体" w:hAnsi="宋体" w:eastAsia="宋体" w:cs="宋体"/>
          <w:sz w:val="28"/>
          <w:szCs w:val="28"/>
          <w14:ligatures w14:val="none"/>
        </w:rPr>
      </w:pPr>
      <w:r>
        <w:rPr>
          <w:rFonts w:hint="eastAsia" w:ascii="宋体" w:hAnsi="宋体" w:eastAsia="宋体" w:cs="宋体"/>
          <w:sz w:val="28"/>
          <w:szCs w:val="28"/>
          <w14:ligatures w14:val="none"/>
        </w:rPr>
        <w:t>（五）交易资产用途：</w:t>
      </w:r>
      <w:r>
        <w:rPr>
          <w:rFonts w:hint="eastAsia" w:ascii="宋体" w:hAnsi="宋体" w:eastAsia="宋体" w:cs="宋体"/>
          <w:sz w:val="28"/>
          <w:szCs w:val="28"/>
          <w:u w:val="single"/>
          <w:lang w:val="en-US" w:eastAsia="zh-CN"/>
          <w14:ligatures w14:val="none"/>
        </w:rPr>
        <w:t>仅用于工业生产、仓储用途，不得用于收纳储存建筑垃圾、工业垃圾，不得用于废品回收</w:t>
      </w:r>
      <w:r>
        <w:rPr>
          <w:rFonts w:hint="eastAsia" w:ascii="宋体" w:hAnsi="宋体" w:eastAsia="宋体" w:cs="宋体"/>
          <w:sz w:val="28"/>
          <w:szCs w:val="28"/>
          <w:u w:val="single"/>
          <w14:ligatures w14:val="none"/>
        </w:rPr>
        <w:t>，用途必须符合法律法规规定和合同约定，不得私自改变用途</w:t>
      </w:r>
      <w:r>
        <w:rPr>
          <w:rFonts w:hint="eastAsia" w:ascii="宋体" w:hAnsi="宋体" w:eastAsia="宋体" w:cs="宋体"/>
          <w:sz w:val="28"/>
          <w:szCs w:val="28"/>
          <w14:ligatures w14:val="none"/>
        </w:rPr>
        <w:t>。</w:t>
      </w:r>
    </w:p>
    <w:p w14:paraId="2231CDFD">
      <w:pPr>
        <w:widowControl/>
        <w:spacing w:line="520" w:lineRule="exact"/>
        <w:ind w:firstLine="560" w:firstLineChars="200"/>
        <w:jc w:val="left"/>
        <w:rPr>
          <w:rFonts w:hint="eastAsia" w:ascii="宋体" w:hAnsi="宋体" w:eastAsia="宋体" w:cs="宋体"/>
          <w:sz w:val="28"/>
          <w:szCs w:val="28"/>
          <w:lang w:val="en-US" w:eastAsia="zh-CN"/>
          <w14:ligatures w14:val="none"/>
        </w:rPr>
      </w:pPr>
      <w:r>
        <w:rPr>
          <w:rFonts w:hint="eastAsia" w:ascii="宋体" w:hAnsi="宋体" w:eastAsia="宋体" w:cs="宋体"/>
          <w:sz w:val="28"/>
          <w:szCs w:val="28"/>
          <w14:ligatures w14:val="none"/>
        </w:rPr>
        <w:t>（六）项目现状：</w:t>
      </w:r>
      <w:r>
        <w:rPr>
          <w:rFonts w:hint="eastAsia" w:ascii="宋体" w:hAnsi="宋体" w:eastAsia="宋体" w:cs="宋体"/>
          <w:sz w:val="28"/>
          <w:szCs w:val="28"/>
          <w:u w:val="single"/>
          <w:lang w:val="en-US" w:eastAsia="zh-CN"/>
          <w14:ligatures w14:val="none"/>
        </w:rPr>
        <w:t>厂房、土地</w:t>
      </w:r>
      <w:r>
        <w:rPr>
          <w:rFonts w:hint="eastAsia" w:ascii="宋体" w:hAnsi="宋体" w:eastAsia="宋体" w:cs="宋体"/>
          <w:sz w:val="28"/>
          <w:szCs w:val="28"/>
          <w:lang w:val="en-US" w:eastAsia="zh-CN"/>
          <w14:ligatures w14:val="none"/>
        </w:rPr>
        <w:t>；</w:t>
      </w:r>
    </w:p>
    <w:p w14:paraId="5EDD8232">
      <w:pPr>
        <w:widowControl/>
        <w:spacing w:line="520" w:lineRule="exact"/>
        <w:ind w:firstLine="560" w:firstLineChars="200"/>
        <w:jc w:val="left"/>
        <w:rPr>
          <w:rFonts w:hint="eastAsia" w:ascii="宋体" w:hAnsi="宋体" w:eastAsia="宋体" w:cs="宋体"/>
          <w:sz w:val="28"/>
          <w:szCs w:val="28"/>
          <w14:ligatures w14:val="none"/>
        </w:rPr>
      </w:pPr>
      <w:r>
        <w:rPr>
          <w:rFonts w:hint="eastAsia" w:ascii="宋体" w:hAnsi="宋体" w:eastAsia="宋体" w:cs="宋体"/>
          <w:sz w:val="28"/>
          <w:szCs w:val="28"/>
          <w14:ligatures w14:val="none"/>
        </w:rPr>
        <w:t>（七）消防验收情况</w:t>
      </w:r>
      <w:r>
        <w:rPr>
          <w:rFonts w:hint="eastAsia" w:ascii="宋体" w:hAnsi="宋体" w:eastAsia="宋体" w:cs="宋体"/>
          <w:sz w:val="28"/>
          <w:szCs w:val="28"/>
          <w:lang w:eastAsia="zh-CN"/>
          <w14:ligatures w14:val="none"/>
        </w:rPr>
        <w:t>：</w:t>
      </w:r>
      <w:r>
        <w:rPr>
          <w:rFonts w:hint="eastAsia" w:ascii="宋体" w:hAnsi="宋体" w:eastAsia="宋体" w:cs="宋体"/>
          <w:sz w:val="28"/>
          <w:szCs w:val="28"/>
          <w:u w:val="single"/>
          <w:lang w:val="en-US" w:eastAsia="zh-CN"/>
          <w14:ligatures w14:val="none"/>
        </w:rPr>
        <w:t>已验收（详见“安全隐患检查表）</w:t>
      </w:r>
      <w:r>
        <w:rPr>
          <w:rFonts w:hint="eastAsia" w:ascii="宋体" w:hAnsi="宋体" w:eastAsia="宋体" w:cs="宋体"/>
          <w:sz w:val="28"/>
          <w:szCs w:val="28"/>
          <w14:ligatures w14:val="none"/>
        </w:rPr>
        <w:t>；</w:t>
      </w:r>
    </w:p>
    <w:p w14:paraId="72D89C6A">
      <w:pPr>
        <w:widowControl/>
        <w:spacing w:line="520" w:lineRule="exact"/>
        <w:ind w:firstLine="560" w:firstLineChars="200"/>
        <w:jc w:val="left"/>
        <w:rPr>
          <w:rFonts w:hint="eastAsia" w:ascii="宋体" w:hAnsi="宋体" w:eastAsia="宋体" w:cs="宋体"/>
          <w:sz w:val="28"/>
          <w:szCs w:val="28"/>
          <w14:ligatures w14:val="none"/>
        </w:rPr>
      </w:pPr>
      <w:r>
        <w:rPr>
          <w:rFonts w:hint="eastAsia" w:ascii="宋体" w:hAnsi="宋体" w:eastAsia="宋体" w:cs="宋体"/>
          <w:sz w:val="28"/>
          <w:szCs w:val="28"/>
          <w14:ligatures w14:val="none"/>
        </w:rPr>
        <w:t>（八）合同年限：</w:t>
      </w:r>
      <w:r>
        <w:rPr>
          <w:rFonts w:hint="eastAsia" w:ascii="宋体" w:hAnsi="宋体" w:eastAsia="宋体" w:cs="宋体"/>
          <w:sz w:val="28"/>
          <w:szCs w:val="28"/>
          <w:u w:val="single"/>
          <w:lang w:val="en-US" w:eastAsia="zh-CN"/>
          <w14:ligatures w14:val="none"/>
        </w:rPr>
        <w:t>10</w:t>
      </w:r>
      <w:r>
        <w:rPr>
          <w:rFonts w:hint="eastAsia" w:ascii="宋体" w:hAnsi="宋体" w:eastAsia="宋体" w:cs="宋体"/>
          <w:sz w:val="28"/>
          <w:szCs w:val="28"/>
          <w:u w:val="single"/>
          <w14:ligatures w14:val="none"/>
        </w:rPr>
        <w:t>年 (</w:t>
      </w:r>
      <w:r>
        <w:rPr>
          <w:rFonts w:hint="eastAsia" w:ascii="宋体" w:hAnsi="宋体" w:eastAsia="宋体" w:cs="宋体"/>
          <w:sz w:val="28"/>
          <w:szCs w:val="28"/>
          <w:highlight w:val="none"/>
          <w:u w:val="single"/>
        </w:rPr>
        <w:t>以实际签订合同约定时间为准</w:t>
      </w:r>
      <w:r>
        <w:rPr>
          <w:rFonts w:hint="eastAsia" w:ascii="宋体" w:hAnsi="宋体" w:eastAsia="宋体" w:cs="宋体"/>
          <w:sz w:val="28"/>
          <w:szCs w:val="28"/>
          <w:u w:val="single"/>
          <w14:ligatures w14:val="none"/>
        </w:rPr>
        <w:t>)</w:t>
      </w:r>
      <w:r>
        <w:rPr>
          <w:rFonts w:hint="eastAsia" w:ascii="宋体" w:hAnsi="宋体" w:eastAsia="宋体" w:cs="宋体"/>
          <w:sz w:val="28"/>
          <w:szCs w:val="28"/>
          <w14:ligatures w14:val="none"/>
        </w:rPr>
        <w:t xml:space="preserve">； </w:t>
      </w:r>
    </w:p>
    <w:p w14:paraId="7AF5900E">
      <w:pPr>
        <w:widowControl/>
        <w:spacing w:line="520" w:lineRule="exact"/>
        <w:ind w:firstLine="560" w:firstLineChars="200"/>
        <w:jc w:val="left"/>
        <w:rPr>
          <w:rFonts w:hint="eastAsia" w:ascii="宋体" w:hAnsi="宋体" w:eastAsia="宋体" w:cs="宋体"/>
          <w:sz w:val="28"/>
          <w:szCs w:val="28"/>
          <w14:ligatures w14:val="none"/>
        </w:rPr>
      </w:pPr>
      <w:r>
        <w:rPr>
          <w:rFonts w:hint="eastAsia" w:ascii="宋体" w:hAnsi="宋体" w:eastAsia="宋体" w:cs="宋体"/>
          <w:sz w:val="28"/>
          <w:szCs w:val="28"/>
          <w14:ligatures w14:val="none"/>
        </w:rPr>
        <w:t>（九）免租期：</w:t>
      </w:r>
      <w:r>
        <w:rPr>
          <w:rFonts w:hint="eastAsia" w:ascii="宋体" w:hAnsi="宋体" w:eastAsia="宋体" w:cs="宋体"/>
          <w:sz w:val="28"/>
          <w:szCs w:val="28"/>
          <w:u w:val="single"/>
          <w:lang w:val="en-US" w:eastAsia="zh-CN"/>
          <w14:ligatures w14:val="none"/>
        </w:rPr>
        <w:t>无</w:t>
      </w:r>
      <w:r>
        <w:rPr>
          <w:rFonts w:hint="eastAsia" w:ascii="宋体" w:hAnsi="宋体" w:eastAsia="宋体" w:cs="宋体"/>
          <w:sz w:val="28"/>
          <w:szCs w:val="28"/>
          <w14:ligatures w14:val="none"/>
        </w:rPr>
        <w:t xml:space="preserve">； </w:t>
      </w:r>
    </w:p>
    <w:p w14:paraId="39A46B89">
      <w:pPr>
        <w:widowControl/>
        <w:spacing w:line="520" w:lineRule="exact"/>
        <w:ind w:firstLine="560" w:firstLineChars="200"/>
        <w:jc w:val="left"/>
        <w:rPr>
          <w:rFonts w:hint="eastAsia" w:ascii="宋体" w:hAnsi="宋体" w:eastAsia="宋体" w:cs="宋体"/>
          <w:sz w:val="28"/>
          <w:szCs w:val="28"/>
          <w14:ligatures w14:val="none"/>
        </w:rPr>
      </w:pPr>
      <w:r>
        <w:rPr>
          <w:rFonts w:hint="eastAsia" w:ascii="宋体" w:hAnsi="宋体" w:eastAsia="宋体" w:cs="宋体"/>
          <w:sz w:val="28"/>
          <w:szCs w:val="28"/>
          <w14:ligatures w14:val="none"/>
        </w:rPr>
        <w:t>（十）交易底价：</w:t>
      </w:r>
      <w:r>
        <w:rPr>
          <w:rFonts w:hint="eastAsia" w:ascii="宋体" w:hAnsi="宋体" w:eastAsia="宋体" w:cs="宋体"/>
          <w:sz w:val="28"/>
          <w:szCs w:val="28"/>
          <w:u w:val="single"/>
          <w:lang w:val="en-US" w:eastAsia="zh-CN"/>
          <w14:ligatures w14:val="none"/>
        </w:rPr>
        <w:t>人民币24,800元/月/宗（含税)</w:t>
      </w:r>
      <w:r>
        <w:rPr>
          <w:rFonts w:hint="eastAsia" w:ascii="宋体" w:hAnsi="宋体" w:eastAsia="宋体" w:cs="宋体"/>
          <w:sz w:val="28"/>
          <w:szCs w:val="28"/>
          <w14:ligatures w14:val="none"/>
        </w:rPr>
        <w:t>。</w:t>
      </w:r>
    </w:p>
    <w:p w14:paraId="73BE49BF">
      <w:pPr>
        <w:widowControl/>
        <w:spacing w:line="520" w:lineRule="exact"/>
        <w:ind w:firstLine="560" w:firstLineChars="200"/>
        <w:jc w:val="left"/>
        <w:rPr>
          <w:rFonts w:hint="eastAsia" w:ascii="宋体" w:hAnsi="宋体" w:eastAsia="宋体" w:cs="宋体"/>
          <w:sz w:val="28"/>
          <w:szCs w:val="28"/>
          <w14:ligatures w14:val="none"/>
        </w:rPr>
      </w:pPr>
      <w:r>
        <w:rPr>
          <w:rFonts w:hint="eastAsia" w:ascii="宋体" w:hAnsi="宋体" w:eastAsia="宋体" w:cs="宋体"/>
          <w:sz w:val="28"/>
          <w:szCs w:val="28"/>
          <w14:ligatures w14:val="none"/>
        </w:rPr>
        <w:t>（十一）租金支付方式：</w:t>
      </w:r>
      <w:r>
        <w:rPr>
          <w:rFonts w:hint="eastAsia" w:ascii="宋体" w:hAnsi="宋体" w:eastAsia="宋体" w:cs="宋体"/>
          <w:sz w:val="28"/>
          <w:szCs w:val="28"/>
          <w:u w:val="single"/>
          <w14:ligatures w14:val="none"/>
        </w:rPr>
        <w:t>（详见《租赁合同》）</w:t>
      </w:r>
    </w:p>
    <w:p w14:paraId="22483046">
      <w:pPr>
        <w:widowControl/>
        <w:spacing w:line="520" w:lineRule="exact"/>
        <w:ind w:firstLine="560" w:firstLineChars="200"/>
        <w:jc w:val="left"/>
        <w:rPr>
          <w:rFonts w:hint="eastAsia" w:ascii="宋体" w:hAnsi="宋体" w:eastAsia="宋体" w:cs="宋体"/>
          <w:sz w:val="28"/>
          <w:szCs w:val="28"/>
          <w14:ligatures w14:val="none"/>
        </w:rPr>
      </w:pPr>
      <w:r>
        <w:rPr>
          <w:rFonts w:hint="eastAsia" w:ascii="宋体" w:hAnsi="宋体" w:eastAsia="宋体" w:cs="宋体"/>
          <w:sz w:val="28"/>
          <w:szCs w:val="28"/>
          <w:lang w:val="en-US" w:eastAsia="zh-CN"/>
          <w14:ligatures w14:val="none"/>
        </w:rPr>
        <w:t>1.</w:t>
      </w:r>
      <w:r>
        <w:rPr>
          <w:rFonts w:hint="eastAsia" w:ascii="宋体" w:hAnsi="宋体" w:eastAsia="宋体" w:cs="宋体"/>
          <w:sz w:val="28"/>
          <w:szCs w:val="28"/>
          <w14:ligatures w14:val="none"/>
        </w:rPr>
        <w:t>租金支付方式采用分期付款方式</w:t>
      </w:r>
      <w:r>
        <w:rPr>
          <w:rFonts w:hint="eastAsia" w:ascii="宋体" w:hAnsi="宋体" w:eastAsia="宋体" w:cs="宋体"/>
          <w:sz w:val="28"/>
          <w:szCs w:val="28"/>
          <w:lang w:eastAsia="zh-CN"/>
          <w14:ligatures w14:val="none"/>
        </w:rPr>
        <w:t>：</w:t>
      </w:r>
      <w:r>
        <w:rPr>
          <w:rFonts w:hint="eastAsia" w:ascii="宋体" w:hAnsi="宋体" w:eastAsia="宋体" w:cs="宋体"/>
          <w:sz w:val="28"/>
          <w:szCs w:val="28"/>
          <w:lang w:val="en-US" w:eastAsia="zh-CN"/>
          <w14:ligatures w14:val="none"/>
        </w:rPr>
        <w:t>签订合同当日缴纳第一期租金，之后每月5日前缴纳下期租金</w:t>
      </w:r>
      <w:r>
        <w:rPr>
          <w:rFonts w:hint="eastAsia" w:ascii="宋体" w:hAnsi="宋体" w:eastAsia="宋体" w:cs="宋体"/>
          <w:sz w:val="28"/>
          <w:szCs w:val="28"/>
          <w14:ligatures w14:val="none"/>
        </w:rPr>
        <w:t>。</w:t>
      </w:r>
    </w:p>
    <w:p w14:paraId="73627E1A">
      <w:pPr>
        <w:widowControl/>
        <w:spacing w:line="520" w:lineRule="exact"/>
        <w:ind w:firstLine="560" w:firstLineChars="200"/>
        <w:jc w:val="left"/>
        <w:rPr>
          <w:rFonts w:hint="eastAsia" w:ascii="宋体" w:hAnsi="宋体" w:eastAsia="宋体" w:cs="宋体"/>
          <w:sz w:val="28"/>
          <w:szCs w:val="28"/>
          <w14:ligatures w14:val="none"/>
        </w:rPr>
      </w:pPr>
      <w:r>
        <w:rPr>
          <w:rFonts w:hint="eastAsia" w:ascii="宋体" w:hAnsi="宋体" w:eastAsia="宋体" w:cs="宋体"/>
          <w:sz w:val="28"/>
          <w:szCs w:val="28"/>
          <w:lang w:val="en-US" w:eastAsia="zh-CN"/>
          <w14:ligatures w14:val="none"/>
        </w:rPr>
        <w:t>2</w:t>
      </w:r>
      <w:r>
        <w:rPr>
          <w:rFonts w:hint="eastAsia" w:ascii="宋体" w:hAnsi="宋体" w:eastAsia="宋体" w:cs="宋体"/>
          <w:sz w:val="28"/>
          <w:szCs w:val="28"/>
          <w14:ligatures w14:val="none"/>
        </w:rPr>
        <w:t>.租金交纳账户信息：</w:t>
      </w:r>
    </w:p>
    <w:p w14:paraId="772F2A19">
      <w:pPr>
        <w:widowControl/>
        <w:spacing w:line="520" w:lineRule="exact"/>
        <w:ind w:firstLine="560" w:firstLineChars="200"/>
        <w:jc w:val="left"/>
        <w:rPr>
          <w:rFonts w:hint="eastAsia" w:ascii="宋体" w:hAnsi="宋体" w:eastAsia="宋体" w:cs="宋体"/>
          <w:sz w:val="28"/>
          <w:szCs w:val="28"/>
          <w14:ligatures w14:val="none"/>
        </w:rPr>
      </w:pPr>
      <w:r>
        <w:rPr>
          <w:rFonts w:hint="eastAsia" w:ascii="宋体" w:hAnsi="宋体" w:eastAsia="宋体" w:cs="宋体"/>
          <w:sz w:val="28"/>
          <w:szCs w:val="28"/>
          <w14:ligatures w14:val="none"/>
        </w:rPr>
        <w:t>账户名称：</w:t>
      </w:r>
      <w:r>
        <w:rPr>
          <w:rFonts w:hint="eastAsia" w:ascii="宋体" w:hAnsi="宋体" w:eastAsia="宋体" w:cs="宋体"/>
          <w:sz w:val="28"/>
          <w:szCs w:val="28"/>
          <w:u w:val="single"/>
          <w14:ligatures w14:val="none"/>
        </w:rPr>
        <w:t>广东省广州市南沙区东涌镇石基股份合作经济联合社</w:t>
      </w:r>
    </w:p>
    <w:p w14:paraId="491058C0">
      <w:pPr>
        <w:widowControl/>
        <w:spacing w:line="520" w:lineRule="exact"/>
        <w:ind w:firstLine="560" w:firstLineChars="200"/>
        <w:jc w:val="left"/>
        <w:rPr>
          <w:rFonts w:hint="eastAsia" w:ascii="宋体" w:hAnsi="宋体" w:eastAsia="宋体" w:cs="宋体"/>
          <w:sz w:val="28"/>
          <w:szCs w:val="28"/>
          <w:lang w:val="en-US" w:eastAsia="zh-CN"/>
          <w14:ligatures w14:val="none"/>
        </w:rPr>
      </w:pPr>
      <w:r>
        <w:rPr>
          <w:rFonts w:hint="eastAsia" w:ascii="宋体" w:hAnsi="宋体" w:eastAsia="宋体" w:cs="宋体"/>
          <w:sz w:val="28"/>
          <w:szCs w:val="28"/>
          <w14:ligatures w14:val="none"/>
        </w:rPr>
        <w:t>开户行：</w:t>
      </w:r>
      <w:r>
        <w:rPr>
          <w:rFonts w:hint="eastAsia" w:ascii="宋体" w:hAnsi="宋体" w:eastAsia="宋体" w:cs="宋体"/>
          <w:sz w:val="28"/>
          <w:szCs w:val="28"/>
          <w:u w:val="single"/>
          <w:lang w:val="en-US" w:eastAsia="zh-CN"/>
          <w14:ligatures w14:val="none"/>
        </w:rPr>
        <w:t>广州农村商业银行股份有限公司太石支行</w:t>
      </w:r>
    </w:p>
    <w:p w14:paraId="7924EEA6">
      <w:pPr>
        <w:widowControl/>
        <w:spacing w:line="520" w:lineRule="exact"/>
        <w:ind w:firstLine="560" w:firstLineChars="200"/>
        <w:jc w:val="left"/>
        <w:rPr>
          <w:rFonts w:hint="eastAsia" w:ascii="宋体" w:hAnsi="宋体" w:eastAsia="宋体" w:cs="宋体"/>
          <w:sz w:val="28"/>
          <w:szCs w:val="28"/>
          <w14:ligatures w14:val="none"/>
        </w:rPr>
      </w:pPr>
      <w:r>
        <w:rPr>
          <w:rFonts w:hint="eastAsia" w:ascii="宋体" w:hAnsi="宋体" w:eastAsia="宋体" w:cs="宋体"/>
          <w:sz w:val="28"/>
          <w:szCs w:val="28"/>
          <w14:ligatures w14:val="none"/>
        </w:rPr>
        <w:t>账号：</w:t>
      </w:r>
      <w:r>
        <w:rPr>
          <w:rFonts w:hint="eastAsia" w:ascii="宋体" w:hAnsi="宋体" w:eastAsia="宋体" w:cs="宋体"/>
          <w:sz w:val="28"/>
          <w:szCs w:val="28"/>
          <w:u w:val="single"/>
          <w14:ligatures w14:val="none"/>
        </w:rPr>
        <w:t>965404001000000121</w:t>
      </w:r>
    </w:p>
    <w:p w14:paraId="60EA9873">
      <w:pPr>
        <w:widowControl/>
        <w:spacing w:line="520" w:lineRule="exact"/>
        <w:ind w:firstLine="560" w:firstLineChars="200"/>
        <w:jc w:val="left"/>
        <w:rPr>
          <w:rFonts w:hint="eastAsia" w:ascii="宋体" w:hAnsi="宋体" w:eastAsia="宋体" w:cs="宋体"/>
          <w:sz w:val="28"/>
          <w:szCs w:val="28"/>
          <w14:ligatures w14:val="none"/>
        </w:rPr>
      </w:pPr>
      <w:r>
        <w:rPr>
          <w:rFonts w:hint="eastAsia" w:ascii="宋体" w:hAnsi="宋体" w:eastAsia="宋体" w:cs="宋体"/>
          <w:sz w:val="28"/>
          <w:szCs w:val="28"/>
          <w:lang w:eastAsia="zh-CN"/>
          <w14:ligatures w14:val="none"/>
        </w:rPr>
        <w:t>（</w:t>
      </w:r>
      <w:r>
        <w:rPr>
          <w:rFonts w:hint="eastAsia" w:ascii="宋体" w:hAnsi="宋体" w:eastAsia="宋体" w:cs="宋体"/>
          <w:sz w:val="28"/>
          <w:szCs w:val="28"/>
          <w:lang w:val="en-US" w:eastAsia="zh-CN"/>
          <w14:ligatures w14:val="none"/>
        </w:rPr>
        <w:t>十二）</w:t>
      </w:r>
      <w:r>
        <w:rPr>
          <w:rFonts w:hint="eastAsia" w:ascii="宋体" w:hAnsi="宋体" w:eastAsia="宋体" w:cs="宋体"/>
          <w:sz w:val="28"/>
          <w:szCs w:val="28"/>
          <w14:ligatures w14:val="none"/>
        </w:rPr>
        <w:t>租金递增方式：每</w:t>
      </w:r>
      <w:r>
        <w:rPr>
          <w:rFonts w:hint="eastAsia" w:ascii="宋体" w:hAnsi="宋体" w:eastAsia="宋体" w:cs="宋体"/>
          <w:sz w:val="28"/>
          <w:szCs w:val="28"/>
          <w:lang w:val="en-US" w:eastAsia="zh-CN"/>
          <w14:ligatures w14:val="none"/>
        </w:rPr>
        <w:t>1个</w:t>
      </w:r>
      <w:r>
        <w:rPr>
          <w:rFonts w:hint="eastAsia" w:ascii="宋体" w:hAnsi="宋体" w:eastAsia="宋体" w:cs="宋体"/>
          <w:sz w:val="28"/>
          <w:szCs w:val="28"/>
          <w14:ligatures w14:val="none"/>
        </w:rPr>
        <w:t>月为一个支付周期，租金从第</w:t>
      </w:r>
      <w:r>
        <w:rPr>
          <w:rFonts w:hint="eastAsia" w:ascii="宋体" w:hAnsi="宋体" w:eastAsia="宋体" w:cs="宋体"/>
          <w:sz w:val="28"/>
          <w:szCs w:val="28"/>
          <w:lang w:val="en-US" w:eastAsia="zh-CN"/>
          <w14:ligatures w14:val="none"/>
        </w:rPr>
        <w:t>4</w:t>
      </w:r>
      <w:r>
        <w:rPr>
          <w:rFonts w:hint="eastAsia" w:ascii="宋体" w:hAnsi="宋体" w:eastAsia="宋体" w:cs="宋体"/>
          <w:sz w:val="28"/>
          <w:szCs w:val="28"/>
          <w14:ligatures w14:val="none"/>
        </w:rPr>
        <w:t>年</w:t>
      </w:r>
      <w:r>
        <w:rPr>
          <w:rFonts w:hint="eastAsia" w:ascii="宋体" w:hAnsi="宋体" w:eastAsia="宋体" w:cs="宋体"/>
          <w:sz w:val="28"/>
          <w:szCs w:val="28"/>
          <w:lang w:eastAsia="zh-CN"/>
          <w14:ligatures w14:val="none"/>
        </w:rPr>
        <w:t>（</w:t>
      </w:r>
      <w:r>
        <w:rPr>
          <w:rFonts w:hint="eastAsia" w:ascii="宋体" w:hAnsi="宋体" w:eastAsia="宋体" w:cs="宋体"/>
          <w:sz w:val="28"/>
          <w:szCs w:val="28"/>
          <w:lang w:val="en-US" w:eastAsia="zh-CN"/>
          <w14:ligatures w14:val="none"/>
        </w:rPr>
        <w:t>即第37个支付周期</w:t>
      </w:r>
      <w:r>
        <w:rPr>
          <w:rFonts w:hint="eastAsia" w:ascii="宋体" w:hAnsi="宋体" w:eastAsia="宋体" w:cs="宋体"/>
          <w:sz w:val="28"/>
          <w:szCs w:val="28"/>
          <w:lang w:eastAsia="zh-CN"/>
          <w14:ligatures w14:val="none"/>
        </w:rPr>
        <w:t>）</w:t>
      </w:r>
      <w:r>
        <w:rPr>
          <w:rFonts w:hint="eastAsia" w:ascii="宋体" w:hAnsi="宋体" w:eastAsia="宋体" w:cs="宋体"/>
          <w:sz w:val="28"/>
          <w:szCs w:val="28"/>
          <w14:ligatures w14:val="none"/>
        </w:rPr>
        <w:t>开始递增</w:t>
      </w:r>
      <w:r>
        <w:rPr>
          <w:rFonts w:hint="eastAsia" w:ascii="宋体" w:hAnsi="宋体" w:eastAsia="宋体" w:cs="宋体"/>
          <w:sz w:val="28"/>
          <w:szCs w:val="28"/>
          <w:lang w:eastAsia="zh-CN"/>
          <w14:ligatures w14:val="none"/>
        </w:rPr>
        <w:t>，</w:t>
      </w:r>
      <w:r>
        <w:rPr>
          <w:rFonts w:hint="eastAsia" w:ascii="宋体" w:hAnsi="宋体" w:eastAsia="宋体" w:cs="宋体"/>
          <w:sz w:val="28"/>
          <w:szCs w:val="28"/>
          <w:lang w:val="en-US" w:eastAsia="zh-CN"/>
          <w14:ligatures w14:val="none"/>
        </w:rPr>
        <w:t>每3年在上年基础上递增8%；</w:t>
      </w:r>
    </w:p>
    <w:p w14:paraId="207C6259">
      <w:pPr>
        <w:widowControl/>
        <w:spacing w:line="520" w:lineRule="exact"/>
        <w:ind w:firstLine="560" w:firstLineChars="200"/>
        <w:jc w:val="left"/>
        <w:rPr>
          <w:rFonts w:hint="eastAsia" w:ascii="宋体" w:hAnsi="宋体" w:eastAsia="宋体" w:cs="宋体"/>
          <w:sz w:val="28"/>
          <w:szCs w:val="28"/>
          <w14:ligatures w14:val="none"/>
        </w:rPr>
      </w:pPr>
      <w:r>
        <w:rPr>
          <w:rFonts w:hint="eastAsia" w:ascii="宋体" w:hAnsi="宋体" w:eastAsia="宋体" w:cs="宋体"/>
          <w:sz w:val="28"/>
          <w:szCs w:val="28"/>
          <w14:ligatures w14:val="none"/>
        </w:rPr>
        <w:t>（十三）交易保证金：</w:t>
      </w:r>
      <w:r>
        <w:rPr>
          <w:rFonts w:hint="eastAsia" w:ascii="宋体" w:hAnsi="宋体" w:eastAsia="宋体" w:cs="宋体"/>
          <w:sz w:val="28"/>
          <w:szCs w:val="28"/>
          <w:u w:val="single"/>
          <w14:ligatures w14:val="none"/>
        </w:rPr>
        <w:t xml:space="preserve">¥ </w:t>
      </w:r>
      <w:r>
        <w:rPr>
          <w:rFonts w:hint="eastAsia" w:ascii="宋体" w:hAnsi="宋体" w:eastAsia="宋体" w:cs="宋体"/>
          <w:sz w:val="28"/>
          <w:szCs w:val="28"/>
          <w:u w:val="single"/>
          <w:lang w:val="en-US" w:eastAsia="zh-CN"/>
          <w14:ligatures w14:val="none"/>
        </w:rPr>
        <w:t>500,000元（大写：人民币伍拾万元整）</w:t>
      </w:r>
      <w:r>
        <w:rPr>
          <w:rFonts w:hint="eastAsia" w:ascii="宋体" w:hAnsi="宋体" w:eastAsia="宋体" w:cs="宋体"/>
          <w:sz w:val="28"/>
          <w:szCs w:val="28"/>
          <w14:ligatures w14:val="none"/>
        </w:rPr>
        <w:t>；</w:t>
      </w:r>
    </w:p>
    <w:p w14:paraId="5ED5A18F">
      <w:pPr>
        <w:widowControl/>
        <w:spacing w:line="520" w:lineRule="exact"/>
        <w:ind w:firstLine="560" w:firstLineChars="200"/>
        <w:jc w:val="left"/>
        <w:rPr>
          <w:rFonts w:hint="eastAsia" w:ascii="宋体" w:hAnsi="宋体" w:eastAsia="宋体" w:cs="宋体"/>
          <w:sz w:val="28"/>
          <w:szCs w:val="28"/>
          <w14:ligatures w14:val="none"/>
        </w:rPr>
      </w:pPr>
      <w:r>
        <w:rPr>
          <w:rFonts w:hint="eastAsia" w:ascii="宋体" w:hAnsi="宋体" w:eastAsia="宋体" w:cs="宋体"/>
          <w:sz w:val="28"/>
          <w:szCs w:val="28"/>
          <w14:ligatures w14:val="none"/>
        </w:rPr>
        <w:t>（十四）合同履约保证金：</w:t>
      </w:r>
      <w:r>
        <w:rPr>
          <w:rFonts w:hint="eastAsia" w:ascii="宋体" w:hAnsi="宋体" w:eastAsia="宋体" w:cs="宋体"/>
          <w:sz w:val="28"/>
          <w:szCs w:val="28"/>
          <w:u w:val="single"/>
          <w14:ligatures w14:val="none"/>
        </w:rPr>
        <w:t>¥</w:t>
      </w:r>
      <w:r>
        <w:rPr>
          <w:rFonts w:hint="eastAsia" w:ascii="宋体" w:hAnsi="宋体" w:eastAsia="宋体" w:cs="宋体"/>
          <w:sz w:val="28"/>
          <w:szCs w:val="28"/>
          <w:u w:val="single"/>
          <w:lang w:val="en-US" w:eastAsia="zh-CN"/>
          <w14:ligatures w14:val="none"/>
        </w:rPr>
        <w:t>150,000</w:t>
      </w:r>
      <w:r>
        <w:rPr>
          <w:rFonts w:hint="eastAsia" w:ascii="宋体" w:hAnsi="宋体" w:eastAsia="宋体" w:cs="宋体"/>
          <w:sz w:val="28"/>
          <w:szCs w:val="28"/>
          <w:u w:val="single"/>
          <w14:ligatures w14:val="none"/>
        </w:rPr>
        <w:t>元（大写：</w:t>
      </w:r>
      <w:r>
        <w:rPr>
          <w:rFonts w:hint="eastAsia" w:ascii="宋体" w:hAnsi="宋体" w:eastAsia="宋体" w:cs="宋体"/>
          <w:sz w:val="28"/>
          <w:szCs w:val="28"/>
          <w:u w:val="single"/>
          <w:lang w:val="en-US" w:eastAsia="zh-CN"/>
          <w14:ligatures w14:val="none"/>
        </w:rPr>
        <w:t>人民币壹拾伍万</w:t>
      </w:r>
      <w:r>
        <w:rPr>
          <w:rFonts w:hint="eastAsia" w:ascii="宋体" w:hAnsi="宋体" w:eastAsia="宋体" w:cs="宋体"/>
          <w:sz w:val="28"/>
          <w:szCs w:val="28"/>
          <w:u w:val="single"/>
          <w14:ligatures w14:val="none"/>
        </w:rPr>
        <w:t>元</w:t>
      </w:r>
      <w:r>
        <w:rPr>
          <w:rFonts w:hint="eastAsia" w:ascii="宋体" w:hAnsi="宋体" w:eastAsia="宋体" w:cs="宋体"/>
          <w:sz w:val="28"/>
          <w:szCs w:val="28"/>
          <w:u w:val="single"/>
          <w:lang w:val="en-US" w:eastAsia="zh-CN"/>
          <w14:ligatures w14:val="none"/>
        </w:rPr>
        <w:t>整</w:t>
      </w:r>
      <w:r>
        <w:rPr>
          <w:rFonts w:hint="eastAsia" w:ascii="宋体" w:hAnsi="宋体" w:eastAsia="宋体" w:cs="宋体"/>
          <w:sz w:val="28"/>
          <w:szCs w:val="28"/>
          <w:u w:val="single"/>
          <w14:ligatures w14:val="none"/>
        </w:rPr>
        <w:t>）</w:t>
      </w:r>
      <w:r>
        <w:rPr>
          <w:rFonts w:hint="eastAsia" w:ascii="宋体" w:hAnsi="宋体" w:eastAsia="宋体" w:cs="宋体"/>
          <w:sz w:val="28"/>
          <w:szCs w:val="28"/>
          <w:lang w:eastAsia="zh-CN"/>
          <w14:ligatures w14:val="none"/>
        </w:rPr>
        <w:t>；</w:t>
      </w:r>
      <w:r>
        <w:rPr>
          <w:rFonts w:hint="eastAsia" w:ascii="宋体" w:hAnsi="宋体" w:eastAsia="宋体" w:cs="宋体"/>
          <w:sz w:val="28"/>
          <w:szCs w:val="28"/>
          <w14:ligatures w14:val="none"/>
        </w:rPr>
        <w:t>受让（承租）方按约定签署《成交确认书》后3个工作日内，由</w:t>
      </w:r>
      <w:r>
        <w:rPr>
          <w:rFonts w:hint="eastAsia" w:ascii="宋体" w:hAnsi="宋体" w:eastAsia="宋体" w:cs="宋体"/>
          <w:sz w:val="28"/>
          <w:szCs w:val="28"/>
          <w:lang w:val="en-US" w:eastAsia="zh-CN"/>
          <w14:ligatures w14:val="none"/>
        </w:rPr>
        <w:t>出租方向</w:t>
      </w:r>
      <w:r>
        <w:rPr>
          <w:rFonts w:hint="eastAsia" w:ascii="宋体" w:hAnsi="宋体" w:eastAsia="宋体" w:cs="宋体"/>
          <w:sz w:val="28"/>
          <w:szCs w:val="28"/>
          <w14:ligatures w14:val="none"/>
        </w:rPr>
        <w:t>广州农交所</w:t>
      </w:r>
      <w:r>
        <w:rPr>
          <w:rFonts w:hint="eastAsia" w:ascii="宋体" w:hAnsi="宋体" w:eastAsia="宋体" w:cs="宋体"/>
          <w:sz w:val="28"/>
          <w:szCs w:val="28"/>
          <w:lang w:val="en-US" w:eastAsia="zh-CN"/>
          <w14:ligatures w14:val="none"/>
        </w:rPr>
        <w:t>支付</w:t>
      </w:r>
      <w:r>
        <w:rPr>
          <w:rFonts w:hint="eastAsia" w:ascii="宋体" w:hAnsi="宋体" w:eastAsia="宋体" w:cs="宋体"/>
          <w:sz w:val="28"/>
          <w:szCs w:val="28"/>
          <w14:ligatures w14:val="none"/>
        </w:rPr>
        <w:t>交易服务费</w:t>
      </w:r>
      <w:r>
        <w:rPr>
          <w:rFonts w:hint="eastAsia" w:ascii="宋体" w:hAnsi="宋体" w:eastAsia="宋体" w:cs="宋体"/>
          <w:sz w:val="28"/>
          <w:szCs w:val="28"/>
          <w:lang w:eastAsia="zh-CN"/>
          <w14:ligatures w14:val="none"/>
        </w:rPr>
        <w:t>，</w:t>
      </w:r>
      <w:r>
        <w:rPr>
          <w:rFonts w:hint="eastAsia" w:ascii="宋体" w:hAnsi="宋体" w:eastAsia="宋体" w:cs="宋体"/>
          <w:sz w:val="28"/>
          <w:szCs w:val="28"/>
          <w:lang w:val="en-US" w:eastAsia="zh-CN"/>
          <w14:ligatures w14:val="none"/>
        </w:rPr>
        <w:t>交易保证金</w:t>
      </w:r>
      <w:r>
        <w:rPr>
          <w:rFonts w:hint="eastAsia" w:ascii="宋体" w:hAnsi="宋体" w:eastAsia="宋体" w:cs="宋体"/>
          <w:sz w:val="28"/>
          <w:szCs w:val="28"/>
          <w14:ligatures w14:val="none"/>
        </w:rPr>
        <w:t>自动转为合同押金</w:t>
      </w:r>
      <w:r>
        <w:rPr>
          <w:rFonts w:hint="eastAsia" w:ascii="宋体" w:hAnsi="宋体" w:eastAsia="宋体" w:cs="宋体"/>
          <w:sz w:val="28"/>
          <w:szCs w:val="28"/>
          <w:lang w:val="en-US" w:eastAsia="zh-CN"/>
          <w14:ligatures w14:val="none"/>
        </w:rPr>
        <w:t>转到出租方账户</w:t>
      </w:r>
      <w:r>
        <w:rPr>
          <w:rFonts w:hint="eastAsia" w:ascii="宋体" w:hAnsi="宋体" w:eastAsia="宋体" w:cs="宋体"/>
          <w:sz w:val="28"/>
          <w:szCs w:val="28"/>
          <w14:ligatures w14:val="none"/>
        </w:rPr>
        <w:t>，</w:t>
      </w:r>
      <w:r>
        <w:rPr>
          <w:rFonts w:hint="eastAsia" w:ascii="宋体" w:hAnsi="宋体" w:eastAsia="宋体" w:cs="宋体"/>
          <w:sz w:val="28"/>
          <w:szCs w:val="28"/>
          <w:lang w:val="en-US" w:eastAsia="zh-CN"/>
          <w14:ligatures w14:val="none"/>
        </w:rPr>
        <w:t>剩余部分原路退回</w:t>
      </w:r>
      <w:r>
        <w:rPr>
          <w:rFonts w:hint="eastAsia" w:ascii="宋体" w:hAnsi="宋体" w:eastAsia="宋体" w:cs="宋体"/>
          <w:sz w:val="28"/>
          <w:szCs w:val="28"/>
          <w14:ligatures w14:val="none"/>
        </w:rPr>
        <w:t>受让（承租）方。</w:t>
      </w:r>
    </w:p>
    <w:p w14:paraId="0017F49E">
      <w:pPr>
        <w:widowControl/>
        <w:spacing w:line="520" w:lineRule="exact"/>
        <w:ind w:firstLine="560" w:firstLineChars="200"/>
        <w:jc w:val="left"/>
        <w:rPr>
          <w:rFonts w:hint="eastAsia" w:ascii="宋体" w:hAnsi="宋体" w:eastAsia="宋体" w:cs="宋体"/>
          <w:sz w:val="28"/>
          <w:szCs w:val="28"/>
          <w14:ligatures w14:val="none"/>
        </w:rPr>
      </w:pPr>
      <w:r>
        <w:rPr>
          <w:rFonts w:hint="eastAsia" w:ascii="宋体" w:hAnsi="宋体" w:eastAsia="宋体" w:cs="宋体"/>
          <w:sz w:val="28"/>
          <w:szCs w:val="28"/>
          <w14:ligatures w14:val="none"/>
        </w:rPr>
        <w:t>（十五）交易方式：</w:t>
      </w:r>
    </w:p>
    <w:p w14:paraId="73E00611">
      <w:pPr>
        <w:widowControl/>
        <w:spacing w:line="520" w:lineRule="exact"/>
        <w:ind w:firstLine="560" w:firstLineChars="200"/>
        <w:jc w:val="left"/>
        <w:rPr>
          <w:rFonts w:hint="eastAsia" w:ascii="宋体" w:hAnsi="宋体" w:eastAsia="宋体" w:cs="宋体"/>
          <w:sz w:val="28"/>
          <w:szCs w:val="28"/>
          <w14:ligatures w14:val="none"/>
        </w:rPr>
      </w:pPr>
      <w:r>
        <w:rPr>
          <w:rFonts w:hint="eastAsia" w:ascii="宋体" w:hAnsi="宋体" w:eastAsia="宋体" w:cs="宋体"/>
          <w:sz w:val="28"/>
          <w:szCs w:val="28"/>
          <w14:ligatures w14:val="none"/>
        </w:rPr>
        <w:t xml:space="preserve">1.仅征集到1家符合资格且缴纳交易保证金的意向方，交易方式选择协议交易，协议交易方式为：交易双方以挂牌价格作为成交价格签订交易合同。 </w:t>
      </w:r>
    </w:p>
    <w:p w14:paraId="2DA5DF62">
      <w:pPr>
        <w:widowControl/>
        <w:spacing w:line="520" w:lineRule="exact"/>
        <w:ind w:firstLine="560" w:firstLineChars="200"/>
        <w:jc w:val="left"/>
        <w:rPr>
          <w:rFonts w:hint="eastAsia" w:ascii="宋体" w:hAnsi="宋体" w:eastAsia="宋体" w:cs="宋体"/>
          <w:sz w:val="28"/>
          <w:szCs w:val="28"/>
          <w14:ligatures w14:val="none"/>
        </w:rPr>
      </w:pPr>
      <w:r>
        <w:rPr>
          <w:rFonts w:hint="eastAsia" w:ascii="宋体" w:hAnsi="宋体" w:eastAsia="宋体" w:cs="宋体"/>
          <w:sz w:val="28"/>
          <w:szCs w:val="28"/>
          <w14:ligatures w14:val="none"/>
        </w:rPr>
        <w:t>2.如征集到符合资格且缴纳交易保证金的意向方为 2 家或以上的，选择以下交易方式：网络竞价。</w:t>
      </w:r>
    </w:p>
    <w:p w14:paraId="4312ACCD">
      <w:pPr>
        <w:widowControl/>
        <w:spacing w:line="520" w:lineRule="exact"/>
        <w:ind w:firstLine="560" w:firstLineChars="200"/>
        <w:jc w:val="left"/>
        <w:rPr>
          <w:rFonts w:hint="eastAsia" w:ascii="宋体" w:hAnsi="宋体" w:eastAsia="宋体" w:cs="宋体"/>
          <w:sz w:val="28"/>
          <w:szCs w:val="28"/>
          <w14:ligatures w14:val="none"/>
        </w:rPr>
      </w:pPr>
      <w:r>
        <w:rPr>
          <w:rFonts w:hint="eastAsia" w:ascii="宋体" w:hAnsi="宋体" w:eastAsia="宋体" w:cs="宋体"/>
          <w:sz w:val="28"/>
          <w:szCs w:val="28"/>
          <w14:ligatures w14:val="none"/>
        </w:rPr>
        <w:t>竞价开始时间：</w:t>
      </w:r>
      <w:r>
        <w:rPr>
          <w:rFonts w:hint="eastAsia" w:ascii="宋体" w:hAnsi="宋体" w:eastAsia="宋体" w:cs="宋体"/>
          <w:sz w:val="28"/>
          <w:szCs w:val="28"/>
          <w:lang w:eastAsia="zh-CN"/>
          <w14:ligatures w14:val="none"/>
        </w:rPr>
        <w:t>2025</w:t>
      </w:r>
      <w:r>
        <w:rPr>
          <w:rFonts w:hint="eastAsia" w:ascii="宋体" w:hAnsi="宋体" w:eastAsia="宋体" w:cs="宋体"/>
          <w:sz w:val="28"/>
          <w:szCs w:val="28"/>
          <w14:ligatures w14:val="none"/>
        </w:rPr>
        <w:t>年</w:t>
      </w:r>
      <w:r>
        <w:rPr>
          <w:rFonts w:hint="eastAsia" w:ascii="宋体" w:hAnsi="宋体" w:eastAsia="宋体" w:cs="宋体"/>
          <w:sz w:val="28"/>
          <w:szCs w:val="28"/>
          <w:lang w:val="en-US" w:eastAsia="zh-CN"/>
          <w14:ligatures w14:val="none"/>
        </w:rPr>
        <w:t>5</w:t>
      </w:r>
      <w:r>
        <w:rPr>
          <w:rFonts w:hint="eastAsia" w:ascii="宋体" w:hAnsi="宋体" w:eastAsia="宋体" w:cs="宋体"/>
          <w:sz w:val="28"/>
          <w:szCs w:val="28"/>
          <w14:ligatures w14:val="none"/>
        </w:rPr>
        <w:t>月</w:t>
      </w:r>
      <w:r>
        <w:rPr>
          <w:rFonts w:hint="eastAsia" w:ascii="宋体" w:hAnsi="宋体" w:eastAsia="宋体" w:cs="宋体"/>
          <w:sz w:val="28"/>
          <w:szCs w:val="28"/>
          <w:lang w:val="en-US" w:eastAsia="zh-CN"/>
          <w14:ligatures w14:val="none"/>
        </w:rPr>
        <w:t>27</w:t>
      </w:r>
      <w:r>
        <w:rPr>
          <w:rFonts w:hint="eastAsia" w:ascii="宋体" w:hAnsi="宋体" w:eastAsia="宋体" w:cs="宋体"/>
          <w:sz w:val="28"/>
          <w:szCs w:val="28"/>
          <w14:ligatures w14:val="none"/>
        </w:rPr>
        <w:t>日</w:t>
      </w:r>
      <w:r>
        <w:rPr>
          <w:rFonts w:hint="eastAsia" w:ascii="宋体" w:hAnsi="宋体" w:eastAsia="宋体" w:cs="宋体"/>
          <w:sz w:val="28"/>
          <w:szCs w:val="28"/>
          <w:lang w:val="en-US" w:eastAsia="zh-CN"/>
          <w14:ligatures w14:val="none"/>
        </w:rPr>
        <w:t>10</w:t>
      </w:r>
      <w:r>
        <w:rPr>
          <w:rFonts w:hint="eastAsia" w:ascii="宋体" w:hAnsi="宋体" w:eastAsia="宋体" w:cs="宋体"/>
          <w:sz w:val="28"/>
          <w:szCs w:val="28"/>
          <w14:ligatures w14:val="none"/>
        </w:rPr>
        <w:t>时。</w:t>
      </w:r>
    </w:p>
    <w:p w14:paraId="350A18C3">
      <w:pPr>
        <w:widowControl/>
        <w:spacing w:line="520" w:lineRule="exact"/>
        <w:ind w:firstLine="560" w:firstLineChars="200"/>
        <w:jc w:val="left"/>
        <w:rPr>
          <w:rFonts w:hint="eastAsia" w:ascii="宋体" w:hAnsi="宋体" w:eastAsia="宋体" w:cs="宋体"/>
          <w:sz w:val="28"/>
          <w:szCs w:val="28"/>
          <w14:ligatures w14:val="none"/>
        </w:rPr>
      </w:pPr>
      <w:r>
        <w:rPr>
          <w:rFonts w:hint="eastAsia" w:ascii="宋体" w:hAnsi="宋体" w:eastAsia="宋体" w:cs="宋体"/>
          <w:sz w:val="28"/>
          <w:szCs w:val="28"/>
          <w14:ligatures w14:val="none"/>
        </w:rPr>
        <w:t>（1）自由报价阶段：</w:t>
      </w:r>
      <w:r>
        <w:rPr>
          <w:rFonts w:hint="eastAsia" w:ascii="宋体" w:hAnsi="宋体" w:eastAsia="宋体" w:cs="宋体"/>
          <w:sz w:val="28"/>
          <w:szCs w:val="28"/>
          <w:lang w:eastAsia="zh-CN"/>
          <w14:ligatures w14:val="none"/>
        </w:rPr>
        <w:t>2025</w:t>
      </w:r>
      <w:r>
        <w:rPr>
          <w:rFonts w:hint="eastAsia" w:ascii="宋体" w:hAnsi="宋体" w:eastAsia="宋体" w:cs="宋体"/>
          <w:sz w:val="28"/>
          <w:szCs w:val="28"/>
          <w14:ligatures w14:val="none"/>
        </w:rPr>
        <w:t>年</w:t>
      </w:r>
      <w:r>
        <w:rPr>
          <w:rFonts w:hint="eastAsia" w:ascii="宋体" w:hAnsi="宋体" w:eastAsia="宋体" w:cs="宋体"/>
          <w:sz w:val="28"/>
          <w:szCs w:val="28"/>
          <w:lang w:val="en-US" w:eastAsia="zh-CN"/>
          <w14:ligatures w14:val="none"/>
        </w:rPr>
        <w:t>5</w:t>
      </w:r>
      <w:r>
        <w:rPr>
          <w:rFonts w:hint="eastAsia" w:ascii="宋体" w:hAnsi="宋体" w:eastAsia="宋体" w:cs="宋体"/>
          <w:sz w:val="28"/>
          <w:szCs w:val="28"/>
          <w14:ligatures w14:val="none"/>
        </w:rPr>
        <w:t>月</w:t>
      </w:r>
      <w:r>
        <w:rPr>
          <w:rFonts w:hint="eastAsia" w:ascii="宋体" w:hAnsi="宋体" w:eastAsia="宋体" w:cs="宋体"/>
          <w:sz w:val="28"/>
          <w:szCs w:val="28"/>
          <w:lang w:val="en-US" w:eastAsia="zh-CN"/>
          <w14:ligatures w14:val="none"/>
        </w:rPr>
        <w:t>27</w:t>
      </w:r>
      <w:r>
        <w:rPr>
          <w:rFonts w:hint="eastAsia" w:ascii="宋体" w:hAnsi="宋体" w:eastAsia="宋体" w:cs="宋体"/>
          <w:sz w:val="28"/>
          <w:szCs w:val="28"/>
          <w14:ligatures w14:val="none"/>
        </w:rPr>
        <w:t>日</w:t>
      </w:r>
      <w:r>
        <w:rPr>
          <w:rFonts w:hint="eastAsia" w:ascii="宋体" w:hAnsi="宋体" w:eastAsia="宋体" w:cs="宋体"/>
          <w:sz w:val="28"/>
          <w:szCs w:val="28"/>
          <w:lang w:val="en-US" w:eastAsia="zh-CN"/>
          <w14:ligatures w14:val="none"/>
        </w:rPr>
        <w:t>10</w:t>
      </w:r>
      <w:r>
        <w:rPr>
          <w:rFonts w:hint="eastAsia" w:ascii="宋体" w:hAnsi="宋体" w:eastAsia="宋体" w:cs="宋体"/>
          <w:sz w:val="28"/>
          <w:szCs w:val="28"/>
          <w14:ligatures w14:val="none"/>
        </w:rPr>
        <w:t>时00分至</w:t>
      </w:r>
      <w:r>
        <w:rPr>
          <w:rFonts w:hint="eastAsia" w:ascii="宋体" w:hAnsi="宋体" w:eastAsia="宋体" w:cs="宋体"/>
          <w:sz w:val="28"/>
          <w:szCs w:val="28"/>
          <w:lang w:val="en-US" w:eastAsia="zh-CN"/>
          <w14:ligatures w14:val="none"/>
        </w:rPr>
        <w:t>10</w:t>
      </w:r>
      <w:r>
        <w:rPr>
          <w:rFonts w:hint="eastAsia" w:ascii="宋体" w:hAnsi="宋体" w:eastAsia="宋体" w:cs="宋体"/>
          <w:sz w:val="28"/>
          <w:szCs w:val="28"/>
          <w14:ligatures w14:val="none"/>
        </w:rPr>
        <w:t>时</w:t>
      </w:r>
      <w:r>
        <w:rPr>
          <w:rFonts w:hint="eastAsia" w:ascii="宋体" w:hAnsi="宋体" w:eastAsia="宋体" w:cs="宋体"/>
          <w:sz w:val="28"/>
          <w:szCs w:val="28"/>
          <w:lang w:val="en-US" w:eastAsia="zh-CN"/>
          <w14:ligatures w14:val="none"/>
        </w:rPr>
        <w:t>05</w:t>
      </w:r>
      <w:r>
        <w:rPr>
          <w:rFonts w:hint="eastAsia" w:ascii="宋体" w:hAnsi="宋体" w:eastAsia="宋体" w:cs="宋体"/>
          <w:sz w:val="28"/>
          <w:szCs w:val="28"/>
          <w14:ligatures w14:val="none"/>
        </w:rPr>
        <w:t>分。</w:t>
      </w:r>
    </w:p>
    <w:p w14:paraId="5F64C788">
      <w:pPr>
        <w:widowControl/>
        <w:spacing w:line="520" w:lineRule="exact"/>
        <w:ind w:firstLine="560" w:firstLineChars="200"/>
        <w:jc w:val="left"/>
        <w:rPr>
          <w:rFonts w:hint="eastAsia" w:ascii="宋体" w:hAnsi="宋体" w:eastAsia="宋体" w:cs="宋体"/>
          <w:sz w:val="28"/>
          <w:szCs w:val="28"/>
          <w14:ligatures w14:val="none"/>
        </w:rPr>
      </w:pPr>
      <w:r>
        <w:rPr>
          <w:rFonts w:hint="eastAsia" w:ascii="宋体" w:hAnsi="宋体" w:eastAsia="宋体" w:cs="宋体"/>
          <w:sz w:val="28"/>
          <w:szCs w:val="28"/>
          <w14:ligatures w14:val="none"/>
        </w:rPr>
        <w:t>（2）限时报价阶段：每次限时周期为</w:t>
      </w:r>
      <w:r>
        <w:rPr>
          <w:rFonts w:hint="eastAsia" w:ascii="宋体" w:hAnsi="宋体" w:eastAsia="宋体" w:cs="宋体"/>
          <w:sz w:val="28"/>
          <w:szCs w:val="28"/>
          <w:lang w:val="en-US" w:eastAsia="zh-CN"/>
          <w14:ligatures w14:val="none"/>
        </w:rPr>
        <w:t>2</w:t>
      </w:r>
      <w:r>
        <w:rPr>
          <w:rFonts w:hint="eastAsia" w:ascii="宋体" w:hAnsi="宋体" w:eastAsia="宋体" w:cs="宋体"/>
          <w:sz w:val="28"/>
          <w:szCs w:val="28"/>
          <w14:ligatures w14:val="none"/>
        </w:rPr>
        <w:t>分钟，首次限时周期从自由竞价时段结束起计算。若限时周期内无人再报价的，则当前报价即为最高报价。若在预定的限时周期内有竞价人继续报价，则此新报价为当前有效报价，系统将重新进入</w:t>
      </w:r>
      <w:r>
        <w:rPr>
          <w:rFonts w:hint="eastAsia" w:ascii="宋体" w:hAnsi="宋体" w:eastAsia="宋体" w:cs="宋体"/>
          <w:sz w:val="28"/>
          <w:szCs w:val="28"/>
          <w:lang w:val="en-US" w:eastAsia="zh-CN"/>
          <w14:ligatures w14:val="none"/>
        </w:rPr>
        <w:t>120</w:t>
      </w:r>
      <w:r>
        <w:rPr>
          <w:rFonts w:hint="eastAsia" w:ascii="宋体" w:hAnsi="宋体" w:eastAsia="宋体" w:cs="宋体"/>
          <w:sz w:val="28"/>
          <w:szCs w:val="28"/>
          <w14:ligatures w14:val="none"/>
        </w:rPr>
        <w:t>秒限时周期。如此循环，直至没有新的有效报价，此时的最高报价被确认为最高报价。</w:t>
      </w:r>
    </w:p>
    <w:p w14:paraId="3FF3A496">
      <w:pPr>
        <w:widowControl/>
        <w:spacing w:line="520" w:lineRule="exact"/>
        <w:ind w:firstLine="560" w:firstLineChars="200"/>
        <w:jc w:val="left"/>
        <w:rPr>
          <w:rFonts w:hint="eastAsia" w:ascii="宋体" w:hAnsi="宋体" w:eastAsia="宋体" w:cs="宋体"/>
          <w:sz w:val="28"/>
          <w:szCs w:val="28"/>
          <w14:ligatures w14:val="none"/>
        </w:rPr>
      </w:pPr>
      <w:r>
        <w:rPr>
          <w:rFonts w:hint="eastAsia" w:ascii="宋体" w:hAnsi="宋体" w:eastAsia="宋体" w:cs="宋体"/>
          <w:sz w:val="28"/>
          <w:szCs w:val="28"/>
          <w14:ligatures w14:val="none"/>
        </w:rPr>
        <w:t>（十六）竞得方式：按照不低于底价，价高者得原则确定受让方</w:t>
      </w:r>
      <w:r>
        <w:rPr>
          <w:rFonts w:hint="eastAsia" w:ascii="宋体" w:hAnsi="宋体" w:eastAsia="宋体" w:cs="宋体"/>
          <w:sz w:val="28"/>
          <w:szCs w:val="28"/>
          <w:lang w:eastAsia="zh-CN"/>
          <w14:ligatures w14:val="none"/>
        </w:rPr>
        <w:t>，</w:t>
      </w:r>
      <w:r>
        <w:rPr>
          <w:rFonts w:hint="eastAsia" w:ascii="宋体" w:hAnsi="宋体" w:eastAsia="宋体" w:cs="宋体"/>
          <w:sz w:val="28"/>
          <w:szCs w:val="28"/>
          <w:lang w:val="en-US" w:eastAsia="zh-CN"/>
          <w14:ligatures w14:val="none"/>
        </w:rPr>
        <w:t>每次报价递增</w:t>
      </w:r>
      <w:r>
        <w:rPr>
          <w:rFonts w:hint="eastAsia" w:ascii="宋体" w:hAnsi="宋体" w:eastAsia="宋体" w:cs="宋体"/>
          <w:sz w:val="28"/>
          <w:szCs w:val="28"/>
          <w:u w:val="single"/>
          <w:lang w:val="en-US" w:eastAsia="zh-CN"/>
          <w14:ligatures w14:val="none"/>
        </w:rPr>
        <w:t>¥ 1,000 元/月/宗</w:t>
      </w:r>
      <w:r>
        <w:rPr>
          <w:rFonts w:hint="eastAsia" w:ascii="宋体" w:hAnsi="宋体" w:eastAsia="宋体" w:cs="宋体"/>
          <w:sz w:val="28"/>
          <w:szCs w:val="28"/>
          <w:lang w:val="en-US" w:eastAsia="zh-CN"/>
          <w14:ligatures w14:val="none"/>
        </w:rPr>
        <w:t>或其整数倍</w:t>
      </w:r>
      <w:r>
        <w:rPr>
          <w:rFonts w:hint="eastAsia" w:ascii="宋体" w:hAnsi="宋体" w:eastAsia="宋体" w:cs="宋体"/>
          <w:sz w:val="28"/>
          <w:szCs w:val="28"/>
          <w14:ligatures w14:val="none"/>
        </w:rPr>
        <w:t>；</w:t>
      </w:r>
    </w:p>
    <w:p w14:paraId="00FDD3E1">
      <w:pPr>
        <w:widowControl/>
        <w:spacing w:line="520" w:lineRule="exact"/>
        <w:ind w:firstLine="560" w:firstLineChars="200"/>
        <w:jc w:val="left"/>
        <w:rPr>
          <w:rFonts w:hint="eastAsia" w:ascii="宋体" w:hAnsi="宋体" w:eastAsia="宋体" w:cs="宋体"/>
          <w:sz w:val="28"/>
          <w:szCs w:val="28"/>
          <w14:ligatures w14:val="none"/>
        </w:rPr>
      </w:pPr>
      <w:r>
        <w:rPr>
          <w:rFonts w:hint="eastAsia" w:ascii="宋体" w:hAnsi="宋体" w:eastAsia="宋体" w:cs="宋体"/>
          <w:sz w:val="28"/>
          <w:szCs w:val="28"/>
          <w14:ligatures w14:val="none"/>
        </w:rPr>
        <w:t xml:space="preserve">（十七）交易规则：具体详见《广州农村产权交易所有限公司交易项目网络多次报价实施办法》； </w:t>
      </w:r>
    </w:p>
    <w:p w14:paraId="24B619DC">
      <w:pPr>
        <w:widowControl/>
        <w:spacing w:line="520" w:lineRule="exact"/>
        <w:ind w:firstLine="560" w:firstLineChars="200"/>
        <w:jc w:val="left"/>
        <w:rPr>
          <w:rFonts w:hint="eastAsia" w:ascii="宋体" w:hAnsi="宋体" w:eastAsia="宋体" w:cs="宋体"/>
          <w:sz w:val="28"/>
          <w:szCs w:val="28"/>
          <w:lang w:val="en-US" w:eastAsia="zh-CN"/>
          <w14:ligatures w14:val="none"/>
        </w:rPr>
      </w:pPr>
      <w:r>
        <w:rPr>
          <w:rFonts w:hint="eastAsia" w:ascii="宋体" w:hAnsi="宋体" w:eastAsia="宋体" w:cs="宋体"/>
          <w:sz w:val="28"/>
          <w:szCs w:val="28"/>
          <w14:ligatures w14:val="none"/>
        </w:rPr>
        <w:t>（十八）竞价地点：</w:t>
      </w:r>
      <w:r>
        <w:rPr>
          <w:rFonts w:hint="eastAsia" w:ascii="宋体" w:hAnsi="宋体" w:eastAsia="宋体" w:cs="宋体"/>
          <w:sz w:val="28"/>
          <w:szCs w:val="28"/>
          <w:u w:val="single"/>
          <w14:ligatures w14:val="none"/>
        </w:rPr>
        <w:t>线上交易</w:t>
      </w:r>
      <w:r>
        <w:rPr>
          <w:rFonts w:hint="eastAsia" w:ascii="宋体" w:hAnsi="宋体" w:eastAsia="宋体" w:cs="宋体"/>
          <w:sz w:val="28"/>
          <w:szCs w:val="28"/>
          <w14:ligatures w14:val="none"/>
        </w:rPr>
        <w:t>；</w:t>
      </w:r>
      <w:r>
        <w:rPr>
          <w:rFonts w:hint="eastAsia" w:ascii="宋体" w:hAnsi="宋体" w:eastAsia="宋体" w:cs="宋体"/>
          <w:sz w:val="28"/>
          <w:szCs w:val="28"/>
          <w:lang w:val="en-US" w:eastAsia="zh-CN"/>
          <w14:ligatures w14:val="none"/>
        </w:rPr>
        <w:t>网址：</w:t>
      </w:r>
      <w:r>
        <w:rPr>
          <w:rFonts w:hint="eastAsia" w:ascii="宋体" w:hAnsi="宋体" w:eastAsia="宋体" w:cs="宋体"/>
          <w:sz w:val="28"/>
          <w:szCs w:val="28"/>
          <w:u w:val="single"/>
          <w:lang w:val="en-US" w:eastAsia="zh-CN"/>
          <w14:ligatures w14:val="none"/>
        </w:rPr>
        <w:t>https://www.gzaee.cn/gzcqjy/member/login.do；</w:t>
      </w:r>
    </w:p>
    <w:p w14:paraId="790ACC76">
      <w:pPr>
        <w:widowControl/>
        <w:spacing w:line="520" w:lineRule="exact"/>
        <w:ind w:firstLine="560" w:firstLineChars="200"/>
        <w:jc w:val="left"/>
        <w:rPr>
          <w:rFonts w:hint="eastAsia" w:ascii="宋体" w:hAnsi="宋体" w:eastAsia="宋体" w:cs="宋体"/>
          <w:sz w:val="28"/>
          <w:szCs w:val="28"/>
          <w14:ligatures w14:val="none"/>
        </w:rPr>
      </w:pPr>
      <w:r>
        <w:rPr>
          <w:rFonts w:hint="eastAsia" w:ascii="宋体" w:hAnsi="宋体" w:eastAsia="宋体" w:cs="宋体"/>
          <w:sz w:val="28"/>
          <w:szCs w:val="28"/>
          <w14:ligatures w14:val="none"/>
        </w:rPr>
        <w:t>（十九）项目交付方式：按合同起始日现状交付；</w:t>
      </w:r>
    </w:p>
    <w:p w14:paraId="368A9C7E">
      <w:pPr>
        <w:widowControl/>
        <w:spacing w:line="520" w:lineRule="exact"/>
        <w:ind w:firstLine="560" w:firstLineChars="200"/>
        <w:jc w:val="left"/>
        <w:rPr>
          <w:rFonts w:hint="eastAsia" w:ascii="宋体" w:hAnsi="宋体" w:eastAsia="宋体" w:cs="宋体"/>
          <w:sz w:val="28"/>
          <w:szCs w:val="28"/>
          <w14:ligatures w14:val="none"/>
        </w:rPr>
      </w:pPr>
      <w:r>
        <w:rPr>
          <w:rFonts w:hint="eastAsia" w:ascii="宋体" w:hAnsi="宋体" w:eastAsia="宋体" w:cs="宋体"/>
          <w:sz w:val="28"/>
          <w:szCs w:val="28"/>
          <w14:ligatures w14:val="none"/>
        </w:rPr>
        <w:t>（二十）其他说明：</w:t>
      </w:r>
    </w:p>
    <w:p w14:paraId="5508A828">
      <w:pPr>
        <w:widowControl/>
        <w:spacing w:line="520" w:lineRule="exact"/>
        <w:ind w:firstLine="560" w:firstLineChars="200"/>
        <w:jc w:val="left"/>
        <w:rPr>
          <w:rFonts w:hint="eastAsia" w:ascii="宋体" w:hAnsi="宋体" w:eastAsia="宋体" w:cs="宋体"/>
          <w:sz w:val="28"/>
          <w:szCs w:val="28"/>
          <w:lang w:val="en-US" w:eastAsia="zh-CN"/>
          <w14:ligatures w14:val="none"/>
        </w:rPr>
      </w:pPr>
      <w:bookmarkStart w:id="4" w:name="OLE_LINK14"/>
      <w:r>
        <w:rPr>
          <w:rFonts w:hint="eastAsia" w:ascii="宋体" w:hAnsi="宋体" w:eastAsia="宋体" w:cs="宋体"/>
          <w:sz w:val="28"/>
          <w:szCs w:val="28"/>
          <w:lang w:val="en-US" w:eastAsia="zh-CN"/>
          <w14:ligatures w14:val="none"/>
        </w:rPr>
        <w:t xml:space="preserve"> 1、</w:t>
      </w:r>
      <w:r>
        <w:rPr>
          <w:rFonts w:hint="eastAsia" w:ascii="宋体" w:hAnsi="宋体" w:eastAsia="宋体" w:cs="宋体"/>
          <w:sz w:val="28"/>
          <w:szCs w:val="28"/>
          <w14:ligatures w14:val="none"/>
        </w:rPr>
        <w:t>新承租方</w:t>
      </w:r>
      <w:r>
        <w:rPr>
          <w:rFonts w:hint="eastAsia" w:ascii="宋体" w:hAnsi="宋体" w:eastAsia="宋体" w:cs="宋体"/>
          <w:sz w:val="28"/>
          <w:szCs w:val="28"/>
          <w:lang w:val="en-US" w:eastAsia="zh-CN"/>
          <w14:ligatures w14:val="none"/>
        </w:rPr>
        <w:t>需在签订合同后2个工作日内向出租方（广东省</w:t>
      </w:r>
      <w:r>
        <w:rPr>
          <w:rFonts w:hint="eastAsia" w:ascii="宋体" w:hAnsi="宋体" w:eastAsia="宋体" w:cs="宋体"/>
          <w:sz w:val="28"/>
          <w:szCs w:val="28"/>
          <w14:ligatures w14:val="none"/>
        </w:rPr>
        <w:t>广州市南沙区东涌镇</w:t>
      </w:r>
      <w:r>
        <w:rPr>
          <w:rFonts w:hint="eastAsia" w:ascii="宋体" w:hAnsi="宋体" w:eastAsia="宋体" w:cs="宋体"/>
          <w:sz w:val="28"/>
          <w:szCs w:val="28"/>
          <w:lang w:val="en-US" w:eastAsia="zh-CN"/>
          <w14:ligatures w14:val="none"/>
        </w:rPr>
        <w:t>石基</w:t>
      </w:r>
      <w:r>
        <w:rPr>
          <w:rFonts w:hint="eastAsia" w:ascii="宋体" w:hAnsi="宋体" w:eastAsia="宋体" w:cs="宋体"/>
          <w:sz w:val="28"/>
          <w:szCs w:val="28"/>
          <w14:ligatures w14:val="none"/>
        </w:rPr>
        <w:t>股份合作经济联合社</w:t>
      </w:r>
      <w:r>
        <w:rPr>
          <w:rFonts w:hint="eastAsia" w:ascii="宋体" w:hAnsi="宋体" w:eastAsia="宋体" w:cs="宋体"/>
          <w:sz w:val="28"/>
          <w:szCs w:val="28"/>
          <w:lang w:val="en-US" w:eastAsia="zh-CN"/>
          <w14:ligatures w14:val="none"/>
        </w:rPr>
        <w:t xml:space="preserve">）缴纳在《建（构）物重置成本价值（现有价值）评估报告书》中列明的重置成本价值的50%作为“前期投入费用”即金额 </w:t>
      </w:r>
      <w:bookmarkStart w:id="5" w:name="OLE_LINK2"/>
      <w:r>
        <w:rPr>
          <w:rFonts w:hint="eastAsia" w:ascii="宋体" w:hAnsi="宋体" w:eastAsia="宋体" w:cs="宋体"/>
          <w:sz w:val="28"/>
          <w:szCs w:val="28"/>
          <w:lang w:val="en-US" w:eastAsia="zh-CN"/>
          <w14:ligatures w14:val="none"/>
        </w:rPr>
        <w:t>¥1,312,004.50</w:t>
      </w:r>
      <w:bookmarkEnd w:id="5"/>
      <w:r>
        <w:rPr>
          <w:rFonts w:hint="eastAsia" w:ascii="宋体" w:hAnsi="宋体" w:eastAsia="宋体" w:cs="宋体"/>
          <w:sz w:val="28"/>
          <w:szCs w:val="28"/>
          <w:lang w:val="en-US" w:eastAsia="zh-CN"/>
          <w14:ligatures w14:val="none"/>
        </w:rPr>
        <w:t>元（人民币大写：壹佰叁拾壹万贰仟零肆元伍角整）。</w:t>
      </w:r>
      <w:r>
        <w:rPr>
          <w:rFonts w:hint="eastAsia" w:ascii="宋体" w:hAnsi="宋体" w:eastAsia="宋体" w:cs="宋体"/>
          <w:sz w:val="28"/>
          <w:szCs w:val="28"/>
          <w14:ligatures w14:val="none"/>
        </w:rPr>
        <w:t>新承租方</w:t>
      </w:r>
      <w:r>
        <w:rPr>
          <w:rFonts w:hint="eastAsia" w:ascii="宋体" w:hAnsi="宋体" w:eastAsia="宋体" w:cs="宋体"/>
          <w:sz w:val="28"/>
          <w:szCs w:val="28"/>
          <w:lang w:val="en-US" w:eastAsia="zh-CN"/>
          <w14:ligatures w14:val="none"/>
        </w:rPr>
        <w:t>如未能在约定期限内向出租方缴纳“前期投入费用”则视为</w:t>
      </w:r>
      <w:r>
        <w:rPr>
          <w:rFonts w:hint="eastAsia" w:ascii="宋体" w:hAnsi="宋体" w:eastAsia="宋体" w:cs="宋体"/>
          <w:sz w:val="28"/>
          <w:szCs w:val="28"/>
          <w14:ligatures w14:val="none"/>
        </w:rPr>
        <w:t>放弃本次交易，出租方有权终止合同且新承租方所缴纳的</w:t>
      </w:r>
      <w:r>
        <w:rPr>
          <w:rFonts w:hint="eastAsia" w:ascii="宋体" w:hAnsi="宋体" w:eastAsia="宋体" w:cs="宋体"/>
          <w:sz w:val="28"/>
          <w:szCs w:val="28"/>
          <w:lang w:val="en-US" w:eastAsia="zh-CN"/>
          <w14:ligatures w14:val="none"/>
        </w:rPr>
        <w:t>合同履约</w:t>
      </w:r>
      <w:r>
        <w:rPr>
          <w:rFonts w:hint="eastAsia" w:ascii="宋体" w:hAnsi="宋体" w:eastAsia="宋体" w:cs="宋体"/>
          <w:sz w:val="28"/>
          <w:szCs w:val="28"/>
          <w14:ligatures w14:val="none"/>
        </w:rPr>
        <w:t>保证金将作为独立补偿不予退回</w:t>
      </w:r>
      <w:r>
        <w:rPr>
          <w:rFonts w:hint="eastAsia" w:ascii="宋体" w:hAnsi="宋体" w:eastAsia="宋体" w:cs="宋体"/>
          <w:sz w:val="28"/>
          <w:szCs w:val="28"/>
          <w:lang w:val="en-US" w:eastAsia="zh-CN"/>
          <w14:ligatures w14:val="none"/>
        </w:rPr>
        <w:t>。</w:t>
      </w:r>
      <w:r>
        <w:rPr>
          <w:rFonts w:hint="eastAsia" w:ascii="宋体" w:hAnsi="宋体" w:eastAsia="宋体" w:cs="宋体"/>
          <w:sz w:val="28"/>
          <w:szCs w:val="28"/>
          <w14:ligatures w14:val="none"/>
        </w:rPr>
        <w:t>新承租方确认并同意新承租方</w:t>
      </w:r>
      <w:r>
        <w:rPr>
          <w:rFonts w:hint="eastAsia" w:ascii="宋体" w:hAnsi="宋体" w:eastAsia="宋体" w:cs="宋体"/>
          <w:sz w:val="28"/>
          <w:szCs w:val="28"/>
          <w:lang w:val="en-US" w:eastAsia="zh-CN"/>
          <w14:ligatures w14:val="none"/>
        </w:rPr>
        <w:t>缴纳的“前期投入费用” 作为</w:t>
      </w:r>
      <w:r>
        <w:rPr>
          <w:rFonts w:hint="eastAsia" w:ascii="宋体" w:hAnsi="宋体" w:eastAsia="宋体" w:cs="宋体"/>
          <w:sz w:val="28"/>
          <w:szCs w:val="28"/>
          <w14:ligatures w14:val="none"/>
        </w:rPr>
        <w:t>新承租方</w:t>
      </w:r>
      <w:r>
        <w:rPr>
          <w:rFonts w:hint="eastAsia" w:ascii="宋体" w:hAnsi="宋体" w:eastAsia="宋体" w:cs="宋体"/>
          <w:sz w:val="28"/>
          <w:szCs w:val="28"/>
          <w:lang w:val="en-US" w:eastAsia="zh-CN"/>
          <w14:ligatures w14:val="none"/>
        </w:rPr>
        <w:t>获得本项目标的的必要费用之一，</w:t>
      </w:r>
      <w:r>
        <w:rPr>
          <w:rFonts w:hint="eastAsia" w:ascii="宋体" w:hAnsi="宋体" w:eastAsia="宋体" w:cs="宋体"/>
          <w:sz w:val="28"/>
          <w:szCs w:val="28"/>
          <w14:ligatures w14:val="none"/>
        </w:rPr>
        <w:t>支付该费用并不取得场地上现状建筑物、构筑物、附着物等所有权，该费用</w:t>
      </w:r>
      <w:r>
        <w:rPr>
          <w:rFonts w:hint="eastAsia" w:ascii="宋体" w:hAnsi="宋体" w:eastAsia="宋体" w:cs="宋体"/>
          <w:sz w:val="28"/>
          <w:szCs w:val="28"/>
          <w:lang w:val="en-US" w:eastAsia="zh-CN"/>
          <w14:ligatures w14:val="none"/>
        </w:rPr>
        <w:t>由出租方处置不作退回，即不因</w:t>
      </w:r>
      <w:r>
        <w:rPr>
          <w:rFonts w:hint="eastAsia" w:ascii="宋体" w:hAnsi="宋体" w:eastAsia="宋体" w:cs="宋体"/>
          <w:sz w:val="28"/>
          <w:szCs w:val="28"/>
          <w14:ligatures w14:val="none"/>
        </w:rPr>
        <w:t>国家、政府征收征用、本合同解除、终止、出现特定事由无法履行或无效等任何理由</w:t>
      </w:r>
      <w:r>
        <w:rPr>
          <w:rFonts w:hint="eastAsia" w:ascii="宋体" w:hAnsi="宋体" w:eastAsia="宋体" w:cs="宋体"/>
          <w:sz w:val="28"/>
          <w:szCs w:val="28"/>
          <w:lang w:val="en-US" w:eastAsia="zh-CN"/>
          <w14:ligatures w14:val="none"/>
        </w:rPr>
        <w:t>退还。</w:t>
      </w:r>
    </w:p>
    <w:p w14:paraId="6B9EE771">
      <w:pPr>
        <w:widowControl/>
        <w:spacing w:line="520" w:lineRule="exact"/>
        <w:ind w:firstLine="560" w:firstLineChars="200"/>
        <w:jc w:val="left"/>
        <w:rPr>
          <w:rFonts w:hint="eastAsia" w:ascii="宋体" w:hAnsi="宋体" w:eastAsia="宋体" w:cs="宋体"/>
          <w:sz w:val="28"/>
          <w:szCs w:val="28"/>
          <w14:ligatures w14:val="none"/>
        </w:rPr>
      </w:pPr>
      <w:r>
        <w:rPr>
          <w:rFonts w:hint="eastAsia" w:ascii="宋体" w:hAnsi="宋体" w:eastAsia="宋体" w:cs="宋体"/>
          <w:sz w:val="28"/>
          <w:szCs w:val="28"/>
          <w:lang w:val="en-US" w:eastAsia="zh-CN"/>
          <w14:ligatures w14:val="none"/>
        </w:rPr>
        <w:t>2、</w:t>
      </w:r>
      <w:r>
        <w:rPr>
          <w:rFonts w:hint="eastAsia" w:ascii="宋体" w:hAnsi="宋体" w:eastAsia="宋体" w:cs="宋体"/>
          <w:sz w:val="28"/>
          <w:szCs w:val="28"/>
          <w14:ligatures w14:val="none"/>
        </w:rPr>
        <w:t>合同存续期间，如遇</w:t>
      </w:r>
      <w:r>
        <w:rPr>
          <w:rFonts w:hint="eastAsia" w:ascii="宋体" w:hAnsi="宋体" w:eastAsia="宋体" w:cs="宋体"/>
          <w:sz w:val="28"/>
          <w:szCs w:val="28"/>
          <w:lang w:val="en-US" w:eastAsia="zh-CN"/>
          <w14:ligatures w14:val="none"/>
        </w:rPr>
        <w:t>政府</w:t>
      </w:r>
      <w:r>
        <w:rPr>
          <w:rFonts w:hint="eastAsia" w:ascii="宋体" w:hAnsi="宋体" w:eastAsia="宋体" w:cs="宋体"/>
          <w:sz w:val="28"/>
          <w:szCs w:val="28"/>
          <w14:ligatures w14:val="none"/>
        </w:rPr>
        <w:t>征收、征用</w:t>
      </w:r>
      <w:r>
        <w:rPr>
          <w:rFonts w:hint="eastAsia" w:ascii="宋体" w:hAnsi="宋体" w:eastAsia="宋体" w:cs="宋体"/>
          <w:sz w:val="28"/>
          <w:szCs w:val="28"/>
          <w:lang w:val="en-US" w:eastAsia="zh-CN"/>
          <w14:ligatures w14:val="none"/>
        </w:rPr>
        <w:t>合同所属全部或部分土地</w:t>
      </w:r>
      <w:r>
        <w:rPr>
          <w:rFonts w:hint="eastAsia" w:ascii="宋体" w:hAnsi="宋体" w:eastAsia="宋体" w:cs="宋体"/>
          <w:sz w:val="28"/>
          <w:szCs w:val="28"/>
          <w14:ligatures w14:val="none"/>
        </w:rPr>
        <w:t>，合同</w:t>
      </w:r>
      <w:r>
        <w:rPr>
          <w:rFonts w:hint="eastAsia" w:ascii="宋体" w:hAnsi="宋体" w:eastAsia="宋体" w:cs="宋体"/>
          <w:sz w:val="28"/>
          <w:szCs w:val="28"/>
          <w:lang w:val="en-US" w:eastAsia="zh-CN"/>
          <w14:ligatures w14:val="none"/>
        </w:rPr>
        <w:t>自然</w:t>
      </w:r>
      <w:r>
        <w:rPr>
          <w:rFonts w:hint="eastAsia" w:ascii="宋体" w:hAnsi="宋体" w:eastAsia="宋体" w:cs="宋体"/>
          <w:sz w:val="28"/>
          <w:szCs w:val="28"/>
          <w14:ligatures w14:val="none"/>
        </w:rPr>
        <w:t>终止</w:t>
      </w:r>
      <w:r>
        <w:rPr>
          <w:rFonts w:hint="eastAsia" w:ascii="宋体" w:hAnsi="宋体" w:eastAsia="宋体" w:cs="宋体"/>
          <w:sz w:val="28"/>
          <w:szCs w:val="28"/>
          <w:lang w:val="en-US" w:eastAsia="zh-CN"/>
          <w14:ligatures w14:val="none"/>
        </w:rPr>
        <w:t>或相应减少租赁面积</w:t>
      </w:r>
      <w:r>
        <w:rPr>
          <w:rFonts w:hint="eastAsia" w:ascii="宋体" w:hAnsi="宋体" w:eastAsia="宋体" w:cs="宋体"/>
          <w:sz w:val="28"/>
          <w:szCs w:val="28"/>
          <w14:ligatures w14:val="none"/>
        </w:rPr>
        <w:t>，</w:t>
      </w:r>
      <w:r>
        <w:rPr>
          <w:rFonts w:hint="eastAsia" w:ascii="宋体" w:hAnsi="宋体" w:eastAsia="宋体" w:cs="宋体"/>
          <w:sz w:val="28"/>
          <w:szCs w:val="28"/>
          <w:lang w:val="en-US" w:eastAsia="zh-CN"/>
          <w14:ligatures w14:val="none"/>
        </w:rPr>
        <w:t>竞得</w:t>
      </w:r>
      <w:r>
        <w:rPr>
          <w:rFonts w:hint="eastAsia" w:ascii="宋体" w:hAnsi="宋体" w:eastAsia="宋体" w:cs="宋体"/>
          <w:sz w:val="28"/>
          <w:szCs w:val="28"/>
          <w14:ligatures w14:val="none"/>
        </w:rPr>
        <w:t>方必须无条件服从搬迁，</w:t>
      </w:r>
      <w:r>
        <w:rPr>
          <w:rFonts w:hint="eastAsia" w:ascii="宋体" w:hAnsi="宋体" w:eastAsia="宋体" w:cs="宋体"/>
          <w:sz w:val="28"/>
          <w:szCs w:val="28"/>
          <w:lang w:val="en-US" w:eastAsia="zh-CN"/>
          <w14:ligatures w14:val="none"/>
        </w:rPr>
        <w:t>建筑物、附着物的</w:t>
      </w:r>
      <w:r>
        <w:rPr>
          <w:rFonts w:hint="eastAsia" w:ascii="宋体" w:hAnsi="宋体" w:eastAsia="宋体" w:cs="宋体"/>
          <w:sz w:val="28"/>
          <w:szCs w:val="28"/>
          <w14:ligatures w14:val="none"/>
        </w:rPr>
        <w:t>补偿费</w:t>
      </w:r>
      <w:r>
        <w:rPr>
          <w:rFonts w:hint="eastAsia" w:ascii="宋体" w:hAnsi="宋体" w:eastAsia="宋体" w:cs="宋体"/>
          <w:sz w:val="28"/>
          <w:szCs w:val="28"/>
          <w:lang w:val="en-US" w:eastAsia="zh-CN"/>
          <w14:ligatures w14:val="none"/>
        </w:rPr>
        <w:t>分配如下：合同生效日后至2030年2月28日期间如遇</w:t>
      </w:r>
      <w:r>
        <w:rPr>
          <w:rFonts w:hint="eastAsia" w:ascii="宋体" w:hAnsi="宋体" w:eastAsia="宋体" w:cs="宋体"/>
          <w:sz w:val="28"/>
          <w:szCs w:val="28"/>
          <w14:ligatures w14:val="none"/>
        </w:rPr>
        <w:t>征地单位征收、征用</w:t>
      </w:r>
      <w:r>
        <w:rPr>
          <w:rFonts w:hint="eastAsia" w:ascii="宋体" w:hAnsi="宋体" w:eastAsia="宋体" w:cs="宋体"/>
          <w:sz w:val="28"/>
          <w:szCs w:val="28"/>
          <w:lang w:val="en-US" w:eastAsia="zh-CN"/>
          <w14:ligatures w14:val="none"/>
        </w:rPr>
        <w:t>则合同地块内</w:t>
      </w:r>
      <w:r>
        <w:rPr>
          <w:rFonts w:hint="eastAsia" w:ascii="宋体" w:hAnsi="宋体" w:eastAsia="宋体" w:cs="宋体"/>
          <w:sz w:val="28"/>
          <w:szCs w:val="28"/>
          <w14:ligatures w14:val="none"/>
        </w:rPr>
        <w:t>建筑物</w:t>
      </w:r>
      <w:r>
        <w:rPr>
          <w:rFonts w:hint="eastAsia" w:ascii="宋体" w:hAnsi="宋体" w:eastAsia="宋体" w:cs="宋体"/>
          <w:sz w:val="28"/>
          <w:szCs w:val="28"/>
          <w:lang w:eastAsia="zh-CN"/>
          <w14:ligatures w14:val="none"/>
        </w:rPr>
        <w:t>、</w:t>
      </w:r>
      <w:r>
        <w:rPr>
          <w:rFonts w:hint="eastAsia" w:ascii="宋体" w:hAnsi="宋体" w:eastAsia="宋体" w:cs="宋体"/>
          <w:sz w:val="28"/>
          <w:szCs w:val="28"/>
          <w:lang w:val="en-US" w:eastAsia="zh-CN"/>
          <w14:ligatures w14:val="none"/>
        </w:rPr>
        <w:t>构建物、附着物的</w:t>
      </w:r>
      <w:r>
        <w:rPr>
          <w:rFonts w:hint="eastAsia" w:ascii="宋体" w:hAnsi="宋体" w:eastAsia="宋体" w:cs="宋体"/>
          <w:sz w:val="28"/>
          <w:szCs w:val="28"/>
          <w14:ligatures w14:val="none"/>
        </w:rPr>
        <w:t>补偿费</w:t>
      </w:r>
      <w:r>
        <w:rPr>
          <w:rFonts w:hint="eastAsia" w:ascii="宋体" w:hAnsi="宋体" w:eastAsia="宋体" w:cs="宋体"/>
          <w:sz w:val="28"/>
          <w:szCs w:val="28"/>
          <w:lang w:val="en-US" w:eastAsia="zh-CN"/>
          <w14:ligatures w14:val="none"/>
        </w:rPr>
        <w:t>用60%归属竞得方，另40%归属甲方；2030年3月1日至合同到期日或合同依法解除日期间如遇</w:t>
      </w:r>
      <w:r>
        <w:rPr>
          <w:rFonts w:hint="eastAsia" w:ascii="宋体" w:hAnsi="宋体" w:eastAsia="宋体" w:cs="宋体"/>
          <w:sz w:val="28"/>
          <w:szCs w:val="28"/>
          <w14:ligatures w14:val="none"/>
        </w:rPr>
        <w:t>征地单位征收、征用</w:t>
      </w:r>
      <w:r>
        <w:rPr>
          <w:rFonts w:hint="eastAsia" w:ascii="宋体" w:hAnsi="宋体" w:eastAsia="宋体" w:cs="宋体"/>
          <w:sz w:val="28"/>
          <w:szCs w:val="28"/>
          <w:lang w:val="en-US" w:eastAsia="zh-CN"/>
          <w14:ligatures w14:val="none"/>
        </w:rPr>
        <w:t>则合同地块内</w:t>
      </w:r>
      <w:r>
        <w:rPr>
          <w:rFonts w:hint="eastAsia" w:ascii="宋体" w:hAnsi="宋体" w:eastAsia="宋体" w:cs="宋体"/>
          <w:sz w:val="28"/>
          <w:szCs w:val="28"/>
          <w14:ligatures w14:val="none"/>
        </w:rPr>
        <w:t>建筑物</w:t>
      </w:r>
      <w:r>
        <w:rPr>
          <w:rFonts w:hint="eastAsia" w:ascii="宋体" w:hAnsi="宋体" w:eastAsia="宋体" w:cs="宋体"/>
          <w:sz w:val="28"/>
          <w:szCs w:val="28"/>
          <w:lang w:eastAsia="zh-CN"/>
          <w14:ligatures w14:val="none"/>
        </w:rPr>
        <w:t>、</w:t>
      </w:r>
      <w:r>
        <w:rPr>
          <w:rFonts w:hint="eastAsia" w:ascii="宋体" w:hAnsi="宋体" w:eastAsia="宋体" w:cs="宋体"/>
          <w:sz w:val="28"/>
          <w:szCs w:val="28"/>
          <w:lang w:val="en-US" w:eastAsia="zh-CN"/>
          <w14:ligatures w14:val="none"/>
        </w:rPr>
        <w:t>构建物、附着物的</w:t>
      </w:r>
      <w:r>
        <w:rPr>
          <w:rFonts w:hint="eastAsia" w:ascii="宋体" w:hAnsi="宋体" w:eastAsia="宋体" w:cs="宋体"/>
          <w:sz w:val="28"/>
          <w:szCs w:val="28"/>
          <w14:ligatures w14:val="none"/>
        </w:rPr>
        <w:t>补偿费</w:t>
      </w:r>
      <w:r>
        <w:rPr>
          <w:rFonts w:hint="eastAsia" w:ascii="宋体" w:hAnsi="宋体" w:eastAsia="宋体" w:cs="宋体"/>
          <w:sz w:val="28"/>
          <w:szCs w:val="28"/>
          <w:lang w:val="en-US" w:eastAsia="zh-CN"/>
          <w14:ligatures w14:val="none"/>
        </w:rPr>
        <w:t>用40%归属竞得方，另60%归属甲方；</w:t>
      </w:r>
      <w:r>
        <w:rPr>
          <w:rFonts w:hint="eastAsia" w:ascii="宋体" w:hAnsi="宋体" w:eastAsia="宋体" w:cs="宋体"/>
          <w:sz w:val="28"/>
          <w:szCs w:val="28"/>
          <w14:ligatures w14:val="none"/>
        </w:rPr>
        <w:t>其他补偿费</w:t>
      </w:r>
      <w:r>
        <w:rPr>
          <w:rFonts w:hint="eastAsia" w:ascii="宋体" w:hAnsi="宋体" w:eastAsia="宋体" w:cs="宋体"/>
          <w:sz w:val="28"/>
          <w:szCs w:val="28"/>
          <w:lang w:val="en-US" w:eastAsia="zh-CN"/>
          <w14:ligatures w14:val="none"/>
        </w:rPr>
        <w:t>用</w:t>
      </w:r>
      <w:r>
        <w:rPr>
          <w:rFonts w:hint="eastAsia" w:ascii="宋体" w:hAnsi="宋体" w:eastAsia="宋体" w:cs="宋体"/>
          <w:sz w:val="28"/>
          <w:szCs w:val="28"/>
          <w14:ligatures w14:val="none"/>
        </w:rPr>
        <w:t>按</w:t>
      </w:r>
      <w:r>
        <w:rPr>
          <w:rFonts w:hint="eastAsia" w:ascii="宋体" w:hAnsi="宋体" w:eastAsia="宋体" w:cs="宋体"/>
          <w:sz w:val="28"/>
          <w:szCs w:val="28"/>
          <w:lang w:val="en-US" w:eastAsia="zh-CN"/>
          <w14:ligatures w14:val="none"/>
        </w:rPr>
        <w:t>南沙区土地征收管理</w:t>
      </w:r>
      <w:r>
        <w:rPr>
          <w:rFonts w:hint="eastAsia" w:ascii="宋体" w:hAnsi="宋体" w:eastAsia="宋体" w:cs="宋体"/>
          <w:sz w:val="28"/>
          <w:szCs w:val="28"/>
          <w14:ligatures w14:val="none"/>
        </w:rPr>
        <w:t>有关政策规定执行。</w:t>
      </w:r>
    </w:p>
    <w:p w14:paraId="08B5FB4F">
      <w:pPr>
        <w:widowControl/>
        <w:spacing w:line="520" w:lineRule="exact"/>
        <w:ind w:firstLine="560" w:firstLineChars="200"/>
        <w:jc w:val="left"/>
        <w:rPr>
          <w:rFonts w:hint="eastAsia" w:ascii="宋体" w:hAnsi="宋体" w:eastAsia="宋体" w:cs="宋体"/>
          <w:sz w:val="28"/>
          <w:szCs w:val="28"/>
          <w:lang w:val="en-US" w:eastAsia="zh-CN"/>
          <w14:ligatures w14:val="none"/>
        </w:rPr>
      </w:pPr>
      <w:r>
        <w:rPr>
          <w:rFonts w:hint="eastAsia" w:ascii="宋体" w:hAnsi="宋体" w:eastAsia="宋体" w:cs="宋体"/>
          <w:sz w:val="28"/>
          <w:szCs w:val="28"/>
          <w14:ligatures w14:val="none"/>
        </w:rPr>
        <w:t>征</w:t>
      </w:r>
      <w:r>
        <w:rPr>
          <w:rFonts w:hint="eastAsia" w:ascii="宋体" w:hAnsi="宋体" w:eastAsia="宋体" w:cs="宋体"/>
          <w:sz w:val="28"/>
          <w:szCs w:val="28"/>
          <w:lang w:val="en-US" w:eastAsia="zh-CN"/>
          <w14:ligatures w14:val="none"/>
        </w:rPr>
        <w:t>收、征用</w:t>
      </w:r>
      <w:r>
        <w:rPr>
          <w:rFonts w:hint="eastAsia" w:ascii="宋体" w:hAnsi="宋体" w:eastAsia="宋体" w:cs="宋体"/>
          <w:sz w:val="28"/>
          <w:szCs w:val="28"/>
          <w14:ligatures w14:val="none"/>
        </w:rPr>
        <w:t>时间界定以征地单位发布征地公告（预公告）、建设通告</w:t>
      </w:r>
      <w:r>
        <w:rPr>
          <w:rFonts w:hint="eastAsia" w:ascii="宋体" w:hAnsi="宋体" w:eastAsia="宋体" w:cs="宋体"/>
          <w:sz w:val="28"/>
          <w:szCs w:val="28"/>
          <w:lang w:val="en-US" w:eastAsia="zh-CN"/>
          <w14:ligatures w14:val="none"/>
        </w:rPr>
        <w:t>的落款</w:t>
      </w:r>
      <w:r>
        <w:rPr>
          <w:rFonts w:hint="eastAsia" w:ascii="宋体" w:hAnsi="宋体" w:eastAsia="宋体" w:cs="宋体"/>
          <w:sz w:val="28"/>
          <w:szCs w:val="28"/>
          <w14:ligatures w14:val="none"/>
        </w:rPr>
        <w:t>日期为准</w:t>
      </w:r>
      <w:r>
        <w:rPr>
          <w:rFonts w:hint="eastAsia" w:ascii="宋体" w:hAnsi="宋体" w:eastAsia="宋体" w:cs="宋体"/>
          <w:sz w:val="28"/>
          <w:szCs w:val="28"/>
          <w:lang w:eastAsia="zh-CN"/>
          <w14:ligatures w14:val="none"/>
        </w:rPr>
        <w:t>。</w:t>
      </w:r>
      <w:r>
        <w:rPr>
          <w:rFonts w:hint="eastAsia" w:ascii="宋体" w:hAnsi="宋体" w:eastAsia="宋体" w:cs="宋体"/>
          <w:sz w:val="28"/>
          <w:szCs w:val="28"/>
          <w:lang w:val="en-US" w:eastAsia="zh-CN"/>
          <w14:ligatures w14:val="none"/>
        </w:rPr>
        <w:t>因电力线路、水利建设、煤气管道等公益事业类建设需要由建设单位（出资单位）、广州市南沙区土地开发中心、东涌镇石基股份合作经济联合社三方参照《广州市南沙区集体土地和集体土地上房屋征收补偿安置办法》标准签订的永久用地补偿合同视同征用，征用</w:t>
      </w:r>
      <w:r>
        <w:rPr>
          <w:rFonts w:hint="eastAsia" w:ascii="宋体" w:hAnsi="宋体" w:eastAsia="宋体" w:cs="宋体"/>
          <w:sz w:val="28"/>
          <w:szCs w:val="28"/>
          <w14:ligatures w14:val="none"/>
        </w:rPr>
        <w:t>时间界定以</w:t>
      </w:r>
      <w:r>
        <w:rPr>
          <w:rFonts w:hint="eastAsia" w:ascii="宋体" w:hAnsi="宋体" w:eastAsia="宋体" w:cs="宋体"/>
          <w:sz w:val="28"/>
          <w:szCs w:val="28"/>
          <w:lang w:val="en-US" w:eastAsia="zh-CN"/>
          <w14:ligatures w14:val="none"/>
        </w:rPr>
        <w:t>上述三方签订的用地补偿合同落款</w:t>
      </w:r>
      <w:r>
        <w:rPr>
          <w:rFonts w:hint="eastAsia" w:ascii="宋体" w:hAnsi="宋体" w:eastAsia="宋体" w:cs="宋体"/>
          <w:sz w:val="28"/>
          <w:szCs w:val="28"/>
          <w14:ligatures w14:val="none"/>
        </w:rPr>
        <w:t>日期为准</w:t>
      </w:r>
      <w:r>
        <w:rPr>
          <w:rFonts w:hint="eastAsia" w:ascii="宋体" w:hAnsi="宋体" w:eastAsia="宋体" w:cs="宋体"/>
          <w:sz w:val="28"/>
          <w:szCs w:val="28"/>
          <w:lang w:eastAsia="zh-CN"/>
          <w14:ligatures w14:val="none"/>
        </w:rPr>
        <w:t>。</w:t>
      </w:r>
    </w:p>
    <w:p w14:paraId="7A156718">
      <w:pPr>
        <w:widowControl/>
        <w:spacing w:line="520" w:lineRule="exact"/>
        <w:ind w:firstLine="560" w:firstLineChars="200"/>
        <w:jc w:val="left"/>
        <w:rPr>
          <w:rFonts w:hint="eastAsia" w:ascii="宋体" w:hAnsi="宋体" w:eastAsia="宋体" w:cs="宋体"/>
          <w:sz w:val="28"/>
          <w:szCs w:val="28"/>
          <w:lang w:val="en-US" w:eastAsia="zh-CN"/>
          <w14:ligatures w14:val="none"/>
        </w:rPr>
      </w:pPr>
      <w:r>
        <w:rPr>
          <w:rFonts w:hint="eastAsia" w:ascii="宋体" w:hAnsi="宋体" w:eastAsia="宋体" w:cs="宋体"/>
          <w:sz w:val="28"/>
          <w:szCs w:val="28"/>
          <w14:ligatures w14:val="none"/>
        </w:rPr>
        <w:t>租赁合同期满或合同解除后，</w:t>
      </w:r>
      <w:r>
        <w:rPr>
          <w:rFonts w:hint="eastAsia" w:ascii="宋体" w:hAnsi="宋体" w:eastAsia="宋体" w:cs="宋体"/>
          <w:sz w:val="28"/>
          <w:szCs w:val="28"/>
          <w:lang w:val="en-US" w:eastAsia="zh-CN"/>
          <w14:ligatures w14:val="none"/>
        </w:rPr>
        <w:t>合同地块上建筑物、构建物、附着物、</w:t>
      </w:r>
      <w:r>
        <w:rPr>
          <w:rFonts w:hint="eastAsia" w:ascii="宋体" w:hAnsi="宋体" w:eastAsia="宋体" w:cs="宋体"/>
          <w:sz w:val="28"/>
          <w:szCs w:val="28"/>
          <w14:ligatures w14:val="none"/>
        </w:rPr>
        <w:t>已形成</w:t>
      </w:r>
      <w:r>
        <w:rPr>
          <w:rFonts w:hint="eastAsia" w:ascii="宋体" w:hAnsi="宋体" w:eastAsia="宋体" w:cs="宋体"/>
          <w:sz w:val="28"/>
          <w:szCs w:val="28"/>
          <w:lang w:val="en-US" w:eastAsia="zh-CN"/>
          <w14:ligatures w14:val="none"/>
        </w:rPr>
        <w:t>附着于建筑主体</w:t>
      </w:r>
      <w:r>
        <w:rPr>
          <w:rFonts w:hint="eastAsia" w:ascii="宋体" w:hAnsi="宋体" w:eastAsia="宋体" w:cs="宋体"/>
          <w:sz w:val="28"/>
          <w:szCs w:val="28"/>
          <w14:ligatures w14:val="none"/>
        </w:rPr>
        <w:t>的</w:t>
      </w:r>
      <w:r>
        <w:rPr>
          <w:rFonts w:hint="eastAsia" w:ascii="宋体" w:hAnsi="宋体" w:eastAsia="宋体" w:cs="宋体"/>
          <w:sz w:val="28"/>
          <w:szCs w:val="28"/>
          <w:lang w:val="en-US" w:eastAsia="zh-CN"/>
          <w14:ligatures w14:val="none"/>
        </w:rPr>
        <w:t>水电线路及</w:t>
      </w:r>
      <w:r>
        <w:rPr>
          <w:rFonts w:hint="eastAsia" w:ascii="宋体" w:hAnsi="宋体" w:eastAsia="宋体" w:cs="宋体"/>
          <w:sz w:val="28"/>
          <w:szCs w:val="28"/>
          <w14:ligatures w14:val="none"/>
        </w:rPr>
        <w:t>装饰装修物</w:t>
      </w:r>
      <w:r>
        <w:rPr>
          <w:rFonts w:hint="eastAsia" w:ascii="宋体" w:hAnsi="宋体" w:eastAsia="宋体" w:cs="宋体"/>
          <w:sz w:val="28"/>
          <w:szCs w:val="28"/>
          <w:lang w:val="en-US" w:eastAsia="zh-CN"/>
          <w14:ligatures w14:val="none"/>
        </w:rPr>
        <w:t>归东涌镇石基股份合作经济联合社所有。竞得人</w:t>
      </w:r>
      <w:r>
        <w:rPr>
          <w:rFonts w:hint="eastAsia" w:ascii="宋体" w:hAnsi="宋体" w:eastAsia="宋体" w:cs="宋体"/>
          <w:sz w:val="28"/>
          <w:szCs w:val="28"/>
          <w14:ligatures w14:val="none"/>
        </w:rPr>
        <w:t>如迟延交还</w:t>
      </w:r>
      <w:r>
        <w:rPr>
          <w:rFonts w:hint="eastAsia" w:ascii="宋体" w:hAnsi="宋体" w:eastAsia="宋体" w:cs="宋体"/>
          <w:sz w:val="28"/>
          <w:szCs w:val="28"/>
          <w:lang w:val="en-US" w:eastAsia="zh-CN"/>
          <w14:ligatures w14:val="none"/>
        </w:rPr>
        <w:t>租赁地块</w:t>
      </w:r>
      <w:r>
        <w:rPr>
          <w:rFonts w:hint="eastAsia" w:ascii="宋体" w:hAnsi="宋体" w:eastAsia="宋体" w:cs="宋体"/>
          <w:sz w:val="28"/>
          <w:szCs w:val="28"/>
          <w14:ligatures w14:val="none"/>
        </w:rPr>
        <w:t>，自延迟之日起</w:t>
      </w:r>
      <w:r>
        <w:rPr>
          <w:rFonts w:hint="eastAsia" w:ascii="宋体" w:hAnsi="宋体" w:eastAsia="宋体" w:cs="宋体"/>
          <w:sz w:val="28"/>
          <w:szCs w:val="28"/>
          <w:lang w:val="en-US" w:eastAsia="zh-CN"/>
          <w14:ligatures w14:val="none"/>
        </w:rPr>
        <w:t>以占用时前一期租金标准的5倍按日</w:t>
      </w:r>
      <w:r>
        <w:rPr>
          <w:rFonts w:hint="eastAsia" w:ascii="宋体" w:hAnsi="宋体" w:eastAsia="宋体" w:cs="宋体"/>
          <w:sz w:val="28"/>
          <w:szCs w:val="28"/>
          <w14:ligatures w14:val="none"/>
        </w:rPr>
        <w:t>计收</w:t>
      </w:r>
      <w:r>
        <w:rPr>
          <w:rFonts w:hint="eastAsia" w:ascii="宋体" w:hAnsi="宋体" w:eastAsia="宋体" w:cs="宋体"/>
          <w:sz w:val="28"/>
          <w:szCs w:val="28"/>
          <w:lang w:val="en-US" w:eastAsia="zh-CN"/>
          <w14:ligatures w14:val="none"/>
        </w:rPr>
        <w:t>占用费</w:t>
      </w:r>
      <w:r>
        <w:rPr>
          <w:rFonts w:hint="eastAsia" w:ascii="宋体" w:hAnsi="宋体" w:eastAsia="宋体" w:cs="宋体"/>
          <w:sz w:val="28"/>
          <w:szCs w:val="28"/>
          <w14:ligatures w14:val="none"/>
        </w:rPr>
        <w:t>，</w:t>
      </w:r>
      <w:r>
        <w:rPr>
          <w:rFonts w:hint="eastAsia" w:ascii="宋体" w:hAnsi="宋体" w:eastAsia="宋体" w:cs="宋体"/>
          <w:sz w:val="28"/>
          <w:szCs w:val="28"/>
          <w:lang w:val="en-US" w:eastAsia="zh-CN"/>
          <w14:ligatures w14:val="none"/>
        </w:rPr>
        <w:t>出租方同时</w:t>
      </w:r>
      <w:r>
        <w:rPr>
          <w:rFonts w:hint="eastAsia" w:ascii="宋体" w:hAnsi="宋体" w:eastAsia="宋体" w:cs="宋体"/>
          <w:sz w:val="28"/>
          <w:szCs w:val="28"/>
          <w14:ligatures w14:val="none"/>
        </w:rPr>
        <w:t>有权采取一切必要措施直接收回土地</w:t>
      </w:r>
      <w:r>
        <w:rPr>
          <w:rFonts w:hint="eastAsia" w:ascii="宋体" w:hAnsi="宋体" w:eastAsia="宋体" w:cs="宋体"/>
          <w:sz w:val="28"/>
          <w:szCs w:val="28"/>
          <w:lang w:eastAsia="zh-CN"/>
          <w14:ligatures w14:val="none"/>
        </w:rPr>
        <w:t>。</w:t>
      </w:r>
    </w:p>
    <w:p w14:paraId="02E9A07A">
      <w:pPr>
        <w:widowControl/>
        <w:spacing w:line="520" w:lineRule="exact"/>
        <w:ind w:firstLine="560" w:firstLineChars="200"/>
        <w:jc w:val="left"/>
        <w:rPr>
          <w:rFonts w:hint="eastAsia" w:ascii="宋体" w:hAnsi="宋体" w:eastAsia="宋体" w:cs="宋体"/>
          <w:sz w:val="28"/>
          <w:szCs w:val="28"/>
          <w:lang w:val="en-US" w:eastAsia="zh-CN"/>
          <w14:ligatures w14:val="none"/>
        </w:rPr>
      </w:pPr>
      <w:r>
        <w:rPr>
          <w:rFonts w:hint="eastAsia" w:ascii="宋体" w:hAnsi="宋体" w:eastAsia="宋体" w:cs="宋体"/>
          <w:sz w:val="28"/>
          <w:szCs w:val="28"/>
          <w:lang w:val="en-US" w:eastAsia="zh-CN"/>
          <w14:ligatures w14:val="none"/>
        </w:rPr>
        <w:t>4、风险提示：</w:t>
      </w:r>
      <w:r>
        <w:rPr>
          <w:rFonts w:hint="eastAsia" w:ascii="宋体" w:hAnsi="宋体" w:eastAsia="宋体" w:cs="宋体"/>
          <w:sz w:val="28"/>
          <w:szCs w:val="28"/>
          <w14:ligatures w14:val="none"/>
        </w:rPr>
        <w:t>地上建筑物为无产权简易结构临时建筑，存在违建风险。2022年土地利用现状（工业用地），根据自然资源相关执法规定，擅自使用无任何合法权源的地块将被视为新增违法用地，</w:t>
      </w:r>
      <w:r>
        <w:rPr>
          <w:rFonts w:hint="eastAsia" w:ascii="宋体" w:hAnsi="宋体" w:eastAsia="宋体" w:cs="宋体"/>
          <w:sz w:val="28"/>
          <w:szCs w:val="28"/>
          <w:lang w:val="en-US" w:eastAsia="zh-CN"/>
          <w14:ligatures w14:val="none"/>
        </w:rPr>
        <w:t>新承租</w:t>
      </w:r>
      <w:r>
        <w:rPr>
          <w:rFonts w:hint="eastAsia" w:ascii="宋体" w:hAnsi="宋体" w:eastAsia="宋体" w:cs="宋体"/>
          <w:sz w:val="28"/>
          <w:szCs w:val="28"/>
          <w14:ligatures w14:val="none"/>
        </w:rPr>
        <w:t>方需依法依规使用土地。</w:t>
      </w:r>
    </w:p>
    <w:bookmarkEnd w:id="4"/>
    <w:p w14:paraId="356CBF9E">
      <w:pPr>
        <w:widowControl/>
        <w:spacing w:line="520" w:lineRule="exact"/>
        <w:ind w:firstLine="560" w:firstLineChars="200"/>
        <w:jc w:val="left"/>
        <w:rPr>
          <w:rFonts w:hint="eastAsia" w:ascii="宋体" w:hAnsi="宋体" w:eastAsia="宋体" w:cs="宋体"/>
          <w:sz w:val="28"/>
          <w:szCs w:val="28"/>
          <w14:ligatures w14:val="none"/>
        </w:rPr>
      </w:pPr>
      <w:r>
        <w:rPr>
          <w:rFonts w:hint="eastAsia" w:ascii="宋体" w:hAnsi="宋体" w:eastAsia="宋体" w:cs="宋体"/>
          <w:sz w:val="28"/>
          <w:szCs w:val="28"/>
          <w:lang w:val="en-US" w:eastAsia="zh-CN"/>
          <w14:ligatures w14:val="none"/>
        </w:rPr>
        <w:t>5</w:t>
      </w:r>
      <w:r>
        <w:rPr>
          <w:rFonts w:hint="eastAsia" w:ascii="宋体" w:hAnsi="宋体" w:eastAsia="宋体" w:cs="宋体"/>
          <w:sz w:val="28"/>
          <w:szCs w:val="28"/>
          <w14:ligatures w14:val="none"/>
        </w:rPr>
        <w:t>.意向受让（承租）方成功竞得的，须在竞得之后3个工作日内签署《成交确认书》（具体签署时间请留意电话和短信通知），否则视为自动放弃竞得资格。</w:t>
      </w:r>
    </w:p>
    <w:p w14:paraId="27FFEC43">
      <w:pPr>
        <w:widowControl/>
        <w:spacing w:line="520" w:lineRule="exact"/>
        <w:ind w:firstLine="560" w:firstLineChars="200"/>
        <w:jc w:val="left"/>
        <w:rPr>
          <w:rFonts w:hint="eastAsia" w:ascii="宋体" w:hAnsi="宋体" w:eastAsia="宋体" w:cs="宋体"/>
          <w:sz w:val="28"/>
          <w:szCs w:val="28"/>
          <w14:ligatures w14:val="none"/>
        </w:rPr>
      </w:pPr>
      <w:r>
        <w:rPr>
          <w:rFonts w:hint="eastAsia" w:ascii="宋体" w:hAnsi="宋体" w:eastAsia="宋体" w:cs="宋体"/>
          <w:sz w:val="28"/>
          <w:szCs w:val="28"/>
          <w:lang w:val="en-US" w:eastAsia="zh-CN"/>
          <w14:ligatures w14:val="none"/>
        </w:rPr>
        <w:t>6</w:t>
      </w:r>
      <w:r>
        <w:rPr>
          <w:rFonts w:hint="eastAsia" w:ascii="宋体" w:hAnsi="宋体" w:eastAsia="宋体" w:cs="宋体"/>
          <w:sz w:val="28"/>
          <w:szCs w:val="28"/>
          <w14:ligatures w14:val="none"/>
        </w:rPr>
        <w:t>. 受让（承租）方须在交易结果公示结束后3个工作日内，凭</w:t>
      </w:r>
      <w:r>
        <w:rPr>
          <w:rFonts w:hint="eastAsia" w:ascii="宋体" w:hAnsi="宋体" w:eastAsia="宋体" w:cs="宋体"/>
          <w:sz w:val="28"/>
          <w:szCs w:val="28"/>
          <w:lang w:val="en-US" w:eastAsia="zh-CN"/>
          <w14:ligatures w14:val="none"/>
        </w:rPr>
        <w:t>成交确认书</w:t>
      </w:r>
      <w:r>
        <w:rPr>
          <w:rFonts w:hint="eastAsia" w:ascii="宋体" w:hAnsi="宋体" w:eastAsia="宋体" w:cs="宋体"/>
          <w:sz w:val="28"/>
          <w:szCs w:val="28"/>
          <w14:ligatures w14:val="none"/>
        </w:rPr>
        <w:t>与项目出租方签署《租赁合同》</w:t>
      </w:r>
      <w:r>
        <w:rPr>
          <w:rFonts w:hint="eastAsia" w:ascii="宋体" w:hAnsi="宋体" w:eastAsia="宋体" w:cs="宋体"/>
          <w:sz w:val="28"/>
          <w:szCs w:val="28"/>
          <w:lang w:val="en-US" w:eastAsia="zh-CN"/>
          <w14:ligatures w14:val="none"/>
        </w:rPr>
        <w:t>并补足不足的履约保证金款项</w:t>
      </w:r>
      <w:r>
        <w:rPr>
          <w:rFonts w:hint="eastAsia" w:ascii="宋体" w:hAnsi="宋体" w:eastAsia="宋体" w:cs="宋体"/>
          <w:sz w:val="28"/>
          <w:szCs w:val="28"/>
          <w14:ligatures w14:val="none"/>
        </w:rPr>
        <w:t>，否则视为受让（承租）方违约，交易保证金在扣除交易服务费后余额赔付给项目出租方。</w:t>
      </w:r>
    </w:p>
    <w:p w14:paraId="20179458">
      <w:pPr>
        <w:widowControl/>
        <w:spacing w:line="520" w:lineRule="exact"/>
        <w:ind w:firstLine="560" w:firstLineChars="200"/>
        <w:jc w:val="left"/>
        <w:rPr>
          <w:rFonts w:hint="eastAsia" w:ascii="宋体" w:hAnsi="宋体" w:eastAsia="宋体" w:cs="宋体"/>
          <w:sz w:val="28"/>
          <w:szCs w:val="28"/>
          <w14:ligatures w14:val="none"/>
        </w:rPr>
      </w:pPr>
      <w:r>
        <w:rPr>
          <w:rFonts w:hint="eastAsia" w:ascii="宋体" w:hAnsi="宋体" w:eastAsia="宋体" w:cs="宋体"/>
          <w:sz w:val="28"/>
          <w:szCs w:val="28"/>
          <w:lang w:val="en-US" w:eastAsia="zh-CN"/>
          <w14:ligatures w14:val="none"/>
        </w:rPr>
        <w:t>7</w:t>
      </w:r>
      <w:r>
        <w:rPr>
          <w:rFonts w:hint="eastAsia" w:ascii="宋体" w:hAnsi="宋体" w:eastAsia="宋体" w:cs="宋体"/>
          <w:sz w:val="28"/>
          <w:szCs w:val="28"/>
          <w14:ligatures w14:val="none"/>
        </w:rPr>
        <w:t>.受让（承租）方须与项目出租方按本项目披露的《租赁合同》进行签订，同意按照《租赁合同》的要求进行签署。</w:t>
      </w:r>
    </w:p>
    <w:p w14:paraId="43A2AAD1">
      <w:pPr>
        <w:widowControl/>
        <w:spacing w:line="520" w:lineRule="exact"/>
        <w:ind w:firstLine="560" w:firstLineChars="200"/>
        <w:jc w:val="left"/>
        <w:rPr>
          <w:rFonts w:hint="eastAsia" w:ascii="宋体" w:hAnsi="宋体" w:eastAsia="宋体" w:cs="宋体"/>
          <w:sz w:val="28"/>
          <w:szCs w:val="28"/>
          <w14:ligatures w14:val="none"/>
        </w:rPr>
      </w:pPr>
      <w:r>
        <w:rPr>
          <w:rFonts w:hint="eastAsia" w:ascii="宋体" w:hAnsi="宋体" w:eastAsia="宋体" w:cs="宋体"/>
          <w:sz w:val="28"/>
          <w:szCs w:val="28"/>
          <w:lang w:val="en-US" w:eastAsia="zh-CN"/>
          <w14:ligatures w14:val="none"/>
        </w:rPr>
        <w:t>8</w:t>
      </w:r>
      <w:r>
        <w:rPr>
          <w:rFonts w:hint="eastAsia" w:ascii="宋体" w:hAnsi="宋体" w:eastAsia="宋体" w:cs="宋体"/>
          <w:sz w:val="28"/>
          <w:szCs w:val="28"/>
          <w14:ligatures w14:val="none"/>
        </w:rPr>
        <w:t>.意向受让（承租）方须认真审阅《租赁合同》，报名即视为已明确知晓《租赁合同》及所附附件之全部条款，对《租赁合同》及所附附件的内容无异议并全面接受。</w:t>
      </w:r>
    </w:p>
    <w:p w14:paraId="527FEC44">
      <w:pPr>
        <w:widowControl/>
        <w:spacing w:line="520" w:lineRule="exact"/>
        <w:ind w:firstLine="560" w:firstLineChars="200"/>
        <w:jc w:val="left"/>
        <w:rPr>
          <w:rFonts w:hint="eastAsia" w:ascii="宋体" w:hAnsi="宋体" w:eastAsia="宋体" w:cs="宋体"/>
          <w:sz w:val="28"/>
          <w:szCs w:val="28"/>
          <w14:ligatures w14:val="none"/>
        </w:rPr>
      </w:pPr>
      <w:r>
        <w:rPr>
          <w:rFonts w:hint="eastAsia" w:ascii="宋体" w:hAnsi="宋体" w:eastAsia="宋体" w:cs="宋体"/>
          <w:sz w:val="28"/>
          <w:szCs w:val="28"/>
          <w:lang w:val="en-US" w:eastAsia="zh-CN"/>
          <w14:ligatures w14:val="none"/>
        </w:rPr>
        <w:t>9</w:t>
      </w:r>
      <w:r>
        <w:rPr>
          <w:rFonts w:hint="eastAsia" w:ascii="宋体" w:hAnsi="宋体" w:eastAsia="宋体" w:cs="宋体"/>
          <w:sz w:val="28"/>
          <w:szCs w:val="28"/>
          <w14:ligatures w14:val="none"/>
        </w:rPr>
        <w:t>.违约责任：确认成交后因受让（承租）方原因无法签署《成交确认书》或《租赁合同》，则交易保证金在扣除交易服务费后余额作为违约金赔付给项目出租方；签署合同后的违约责任按《租赁合同》违约条款执行。</w:t>
      </w:r>
    </w:p>
    <w:p w14:paraId="1097CC77">
      <w:pPr>
        <w:widowControl/>
        <w:spacing w:line="520" w:lineRule="exact"/>
        <w:ind w:firstLine="560" w:firstLineChars="200"/>
        <w:jc w:val="left"/>
        <w:rPr>
          <w:rFonts w:hint="eastAsia" w:ascii="宋体" w:hAnsi="宋体" w:eastAsia="宋体" w:cs="宋体"/>
          <w:sz w:val="28"/>
          <w:szCs w:val="28"/>
          <w14:ligatures w14:val="none"/>
        </w:rPr>
      </w:pPr>
      <w:r>
        <w:rPr>
          <w:rFonts w:hint="eastAsia" w:ascii="宋体" w:hAnsi="宋体" w:eastAsia="宋体" w:cs="宋体"/>
          <w:sz w:val="28"/>
          <w:szCs w:val="28"/>
          <w14:ligatures w14:val="none"/>
        </w:rPr>
        <w:t>二、意向受让（承租）方准入条件</w:t>
      </w:r>
    </w:p>
    <w:p w14:paraId="6EFBBCB4">
      <w:pPr>
        <w:widowControl/>
        <w:spacing w:line="520" w:lineRule="exact"/>
        <w:ind w:firstLine="560" w:firstLineChars="200"/>
        <w:jc w:val="left"/>
        <w:rPr>
          <w:rFonts w:hint="eastAsia" w:ascii="宋体" w:hAnsi="宋体" w:eastAsia="宋体" w:cs="宋体"/>
          <w:sz w:val="28"/>
          <w:szCs w:val="28"/>
          <w14:ligatures w14:val="none"/>
        </w:rPr>
      </w:pPr>
      <w:r>
        <w:rPr>
          <w:rFonts w:hint="eastAsia" w:ascii="宋体" w:hAnsi="宋体" w:eastAsia="宋体" w:cs="宋体"/>
          <w:sz w:val="28"/>
          <w:szCs w:val="28"/>
          <w14:ligatures w14:val="none"/>
        </w:rPr>
        <w:t>（一）意向受让（承租）方必须是在中华人民共和国境内注册并合法运作的独立法人或其他非法人组织（如合伙企业、个人独资企业）、经工商登记注册的个体户以及具有完全民事行为能力的自然人，除法律法规及项目业主单位另有规定外。</w:t>
      </w:r>
    </w:p>
    <w:p w14:paraId="28345400">
      <w:pPr>
        <w:widowControl/>
        <w:spacing w:line="520" w:lineRule="exact"/>
        <w:ind w:firstLine="560" w:firstLineChars="200"/>
        <w:jc w:val="left"/>
        <w:rPr>
          <w:rFonts w:hint="eastAsia" w:ascii="宋体" w:hAnsi="宋体" w:eastAsia="宋体" w:cs="宋体"/>
          <w:sz w:val="28"/>
          <w:szCs w:val="28"/>
          <w14:ligatures w14:val="none"/>
        </w:rPr>
      </w:pPr>
      <w:r>
        <w:rPr>
          <w:rFonts w:hint="eastAsia" w:ascii="宋体" w:hAnsi="宋体" w:eastAsia="宋体" w:cs="宋体"/>
          <w:sz w:val="28"/>
          <w:szCs w:val="28"/>
          <w14:ligatures w14:val="none"/>
        </w:rPr>
        <w:t>（</w:t>
      </w:r>
      <w:r>
        <w:rPr>
          <w:rFonts w:hint="eastAsia" w:ascii="宋体" w:hAnsi="宋体" w:eastAsia="宋体" w:cs="宋体"/>
          <w:sz w:val="28"/>
          <w:szCs w:val="28"/>
          <w:lang w:val="en-US" w:eastAsia="zh-CN"/>
          <w14:ligatures w14:val="none"/>
        </w:rPr>
        <w:t>二</w:t>
      </w:r>
      <w:r>
        <w:rPr>
          <w:rFonts w:hint="eastAsia" w:ascii="宋体" w:hAnsi="宋体" w:eastAsia="宋体" w:cs="宋体"/>
          <w:sz w:val="28"/>
          <w:szCs w:val="28"/>
          <w14:ligatures w14:val="none"/>
        </w:rPr>
        <w:t>）意向方凡被列入经营异常名录的不得参与（意向方曾被列入经营异常名录，但在办理报名登记手续前已移出经营异常名录的除外，以国家企业信用信息公示系统http://www.gsxt.gov.cn/index.html查询结果为准）。</w:t>
      </w:r>
    </w:p>
    <w:p w14:paraId="7A874F60">
      <w:pPr>
        <w:widowControl/>
        <w:spacing w:line="520" w:lineRule="exact"/>
        <w:ind w:firstLine="560" w:firstLineChars="200"/>
        <w:jc w:val="left"/>
        <w:rPr>
          <w:rFonts w:hint="eastAsia" w:ascii="宋体" w:hAnsi="宋体" w:eastAsia="宋体" w:cs="宋体"/>
          <w:sz w:val="28"/>
          <w:szCs w:val="28"/>
          <w14:ligatures w14:val="none"/>
        </w:rPr>
      </w:pPr>
      <w:r>
        <w:rPr>
          <w:rFonts w:hint="eastAsia" w:ascii="宋体" w:hAnsi="宋体" w:eastAsia="宋体" w:cs="宋体"/>
          <w:sz w:val="28"/>
          <w:szCs w:val="28"/>
          <w14:ligatures w14:val="none"/>
        </w:rPr>
        <w:t>（</w:t>
      </w:r>
      <w:r>
        <w:rPr>
          <w:rFonts w:hint="eastAsia" w:ascii="宋体" w:hAnsi="宋体" w:eastAsia="宋体" w:cs="宋体"/>
          <w:sz w:val="28"/>
          <w:szCs w:val="28"/>
          <w:lang w:val="en-US" w:eastAsia="zh-CN"/>
          <w14:ligatures w14:val="none"/>
        </w:rPr>
        <w:t>三</w:t>
      </w:r>
      <w:r>
        <w:rPr>
          <w:rFonts w:hint="eastAsia" w:ascii="宋体" w:hAnsi="宋体" w:eastAsia="宋体" w:cs="宋体"/>
          <w:sz w:val="28"/>
          <w:szCs w:val="28"/>
          <w14:ligatures w14:val="none"/>
        </w:rPr>
        <w:t>）意向方或其法定代表人被列入失信被执行人名单(以中国执行信息公开网http://zxgk.court.gov.cn/shixin/查询结果为准)、重大税收违法案件当事人名单（以信用中国https://www.creditchina.gov.cn/xinyongfuwu/zhongdashuishouweifaanjian/查询结果为准）以及登记在</w:t>
      </w:r>
      <w:r>
        <w:rPr>
          <w:rFonts w:hint="eastAsia" w:ascii="宋体" w:hAnsi="宋体" w:eastAsia="宋体" w:cs="宋体"/>
          <w:sz w:val="28"/>
          <w:szCs w:val="28"/>
          <w:lang w:val="en-US" w:eastAsia="zh-CN"/>
          <w14:ligatures w14:val="none"/>
        </w:rPr>
        <w:t>项目业主方</w:t>
      </w:r>
      <w:r>
        <w:rPr>
          <w:rFonts w:hint="eastAsia" w:ascii="宋体" w:hAnsi="宋体" w:eastAsia="宋体" w:cs="宋体"/>
          <w:sz w:val="28"/>
          <w:szCs w:val="28"/>
          <w14:ligatures w14:val="none"/>
        </w:rPr>
        <w:t>异常名单的不得参与。</w:t>
      </w:r>
    </w:p>
    <w:p w14:paraId="460FC1F3">
      <w:pPr>
        <w:widowControl/>
        <w:spacing w:line="520" w:lineRule="exact"/>
        <w:ind w:firstLine="560" w:firstLineChars="200"/>
        <w:jc w:val="left"/>
        <w:rPr>
          <w:rFonts w:hint="eastAsia" w:ascii="宋体" w:hAnsi="宋体" w:eastAsia="宋体" w:cs="宋体"/>
          <w:sz w:val="28"/>
          <w:szCs w:val="28"/>
          <w14:ligatures w14:val="none"/>
        </w:rPr>
      </w:pPr>
      <w:r>
        <w:rPr>
          <w:rFonts w:hint="eastAsia" w:ascii="宋体" w:hAnsi="宋体" w:eastAsia="宋体" w:cs="宋体"/>
          <w:sz w:val="28"/>
          <w:szCs w:val="28"/>
          <w14:ligatures w14:val="none"/>
        </w:rPr>
        <w:t>（</w:t>
      </w:r>
      <w:r>
        <w:rPr>
          <w:rFonts w:hint="eastAsia" w:ascii="宋体" w:hAnsi="宋体" w:eastAsia="宋体" w:cs="宋体"/>
          <w:sz w:val="28"/>
          <w:szCs w:val="28"/>
          <w:lang w:val="en-US" w:eastAsia="zh-CN"/>
          <w14:ligatures w14:val="none"/>
        </w:rPr>
        <w:t>四</w:t>
      </w:r>
      <w:r>
        <w:rPr>
          <w:rFonts w:hint="eastAsia" w:ascii="宋体" w:hAnsi="宋体" w:eastAsia="宋体" w:cs="宋体"/>
          <w:sz w:val="28"/>
          <w:szCs w:val="28"/>
          <w14:ligatures w14:val="none"/>
        </w:rPr>
        <w:t>）本次出租不接受联合体承租。</w:t>
      </w:r>
    </w:p>
    <w:p w14:paraId="0194A807">
      <w:pPr>
        <w:widowControl/>
        <w:spacing w:line="520" w:lineRule="exact"/>
        <w:ind w:firstLine="560" w:firstLineChars="200"/>
        <w:jc w:val="left"/>
        <w:rPr>
          <w:rFonts w:hint="eastAsia" w:ascii="宋体" w:hAnsi="宋体" w:eastAsia="宋体" w:cs="宋体"/>
          <w:sz w:val="28"/>
          <w:szCs w:val="28"/>
          <w14:ligatures w14:val="none"/>
        </w:rPr>
      </w:pPr>
      <w:r>
        <w:rPr>
          <w:rFonts w:hint="eastAsia" w:ascii="宋体" w:hAnsi="宋体" w:eastAsia="宋体" w:cs="宋体"/>
          <w:sz w:val="28"/>
          <w:szCs w:val="28"/>
          <w14:ligatures w14:val="none"/>
        </w:rPr>
        <w:t>三、意向受让（承租）方可按照以下方式实地勘察该项目</w:t>
      </w:r>
    </w:p>
    <w:p w14:paraId="175FDBF0">
      <w:pPr>
        <w:widowControl/>
        <w:spacing w:line="520" w:lineRule="exact"/>
        <w:ind w:firstLine="560" w:firstLineChars="200"/>
        <w:jc w:val="left"/>
        <w:rPr>
          <w:rFonts w:hint="eastAsia" w:ascii="宋体" w:hAnsi="宋体" w:eastAsia="宋体" w:cs="宋体"/>
          <w:sz w:val="28"/>
          <w:szCs w:val="28"/>
          <w14:ligatures w14:val="none"/>
        </w:rPr>
      </w:pPr>
      <w:r>
        <w:rPr>
          <w:rFonts w:hint="eastAsia" w:ascii="宋体" w:hAnsi="宋体" w:eastAsia="宋体" w:cs="宋体"/>
          <w:sz w:val="28"/>
          <w:szCs w:val="28"/>
          <w14:ligatures w14:val="none"/>
        </w:rPr>
        <w:t>本次竞投不组织实地查看</w:t>
      </w:r>
      <w:r>
        <w:rPr>
          <w:rFonts w:hint="eastAsia" w:ascii="宋体" w:hAnsi="宋体" w:eastAsia="宋体" w:cs="宋体"/>
          <w:sz w:val="28"/>
          <w:szCs w:val="28"/>
          <w:lang w:eastAsia="zh-CN"/>
          <w14:ligatures w14:val="none"/>
        </w:rPr>
        <w:t>，</w:t>
      </w:r>
      <w:r>
        <w:rPr>
          <w:rFonts w:hint="eastAsia" w:ascii="宋体" w:hAnsi="宋体" w:eastAsia="宋体" w:cs="宋体"/>
          <w:sz w:val="28"/>
          <w:szCs w:val="28"/>
          <w14:ligatures w14:val="none"/>
        </w:rPr>
        <w:t>资产具体位置，标的以实物为准，意向受让（承租）方可自行查看资产的位置及了解基本情况。</w:t>
      </w:r>
    </w:p>
    <w:p w14:paraId="4D01D3DF">
      <w:pPr>
        <w:widowControl/>
        <w:spacing w:line="520" w:lineRule="exact"/>
        <w:ind w:firstLine="560" w:firstLineChars="200"/>
        <w:jc w:val="left"/>
        <w:rPr>
          <w:rFonts w:hint="eastAsia" w:ascii="宋体" w:hAnsi="宋体" w:eastAsia="宋体" w:cs="宋体"/>
          <w:sz w:val="28"/>
          <w:szCs w:val="28"/>
          <w14:ligatures w14:val="none"/>
        </w:rPr>
      </w:pPr>
      <w:r>
        <w:rPr>
          <w:rFonts w:hint="eastAsia" w:ascii="宋体" w:hAnsi="宋体" w:eastAsia="宋体" w:cs="宋体"/>
          <w:sz w:val="28"/>
          <w:szCs w:val="28"/>
          <w14:ligatures w14:val="none"/>
        </w:rPr>
        <w:t xml:space="preserve">四、报名事项 </w:t>
      </w:r>
    </w:p>
    <w:p w14:paraId="5A29F391">
      <w:pPr>
        <w:widowControl/>
        <w:spacing w:line="520" w:lineRule="exact"/>
        <w:ind w:firstLine="560" w:firstLineChars="200"/>
        <w:jc w:val="left"/>
        <w:rPr>
          <w:rFonts w:hint="eastAsia" w:ascii="宋体" w:hAnsi="宋体" w:eastAsia="宋体" w:cs="宋体"/>
          <w:sz w:val="28"/>
          <w:szCs w:val="28"/>
          <w14:ligatures w14:val="none"/>
        </w:rPr>
      </w:pPr>
      <w:r>
        <w:rPr>
          <w:rFonts w:hint="eastAsia" w:ascii="宋体" w:hAnsi="宋体" w:eastAsia="宋体" w:cs="宋体"/>
          <w:sz w:val="28"/>
          <w:szCs w:val="28"/>
          <w14:ligatures w14:val="none"/>
        </w:rPr>
        <w:t xml:space="preserve">（一）本项目仅接受线上报名，以系统通过报名为准。(意向受让（承租）方必须在广州农村产权交易所农村产权（集体资产）流转交易服务平台注册登记并进行报名) 。 </w:t>
      </w:r>
    </w:p>
    <w:p w14:paraId="314D819A">
      <w:pPr>
        <w:widowControl/>
        <w:spacing w:line="520" w:lineRule="exact"/>
        <w:ind w:firstLine="560" w:firstLineChars="200"/>
        <w:jc w:val="left"/>
        <w:rPr>
          <w:rFonts w:hint="eastAsia" w:ascii="宋体" w:hAnsi="宋体" w:eastAsia="宋体" w:cs="宋体"/>
          <w:sz w:val="28"/>
          <w:szCs w:val="28"/>
          <w14:ligatures w14:val="none"/>
        </w:rPr>
      </w:pPr>
      <w:r>
        <w:rPr>
          <w:rFonts w:hint="eastAsia" w:ascii="宋体" w:hAnsi="宋体" w:eastAsia="宋体" w:cs="宋体"/>
          <w:sz w:val="28"/>
          <w:szCs w:val="28"/>
          <w14:ligatures w14:val="none"/>
        </w:rPr>
        <w:t>1.系统注册地址：</w:t>
      </w:r>
      <w:r>
        <w:rPr>
          <w:rFonts w:hint="eastAsia" w:ascii="宋体" w:hAnsi="宋体" w:eastAsia="宋体" w:cs="宋体"/>
          <w:sz w:val="28"/>
          <w:szCs w:val="28"/>
          <w:lang w:val="en-US" w:eastAsia="zh-CN"/>
          <w14:ligatures w14:val="none"/>
        </w:rPr>
        <w:t>https://www.gzaee.cn/gzcqjy/member/login.do</w:t>
      </w:r>
    </w:p>
    <w:p w14:paraId="2BD947C7">
      <w:pPr>
        <w:widowControl/>
        <w:spacing w:line="520" w:lineRule="exact"/>
        <w:ind w:firstLine="560" w:firstLineChars="200"/>
        <w:jc w:val="left"/>
        <w:rPr>
          <w:rFonts w:hint="eastAsia" w:ascii="宋体" w:hAnsi="宋体" w:eastAsia="宋体" w:cs="宋体"/>
          <w:sz w:val="28"/>
          <w:szCs w:val="28"/>
          <w14:ligatures w14:val="none"/>
        </w:rPr>
      </w:pPr>
      <w:r>
        <w:rPr>
          <w:rFonts w:hint="eastAsia" w:ascii="宋体" w:hAnsi="宋体" w:eastAsia="宋体" w:cs="宋体"/>
          <w:sz w:val="28"/>
          <w:szCs w:val="28"/>
          <w14:ligatures w14:val="none"/>
        </w:rPr>
        <w:t>2.注册完成后选择本项目进行报名并按要求提交报名资料及缴纳交易保证金。</w:t>
      </w:r>
    </w:p>
    <w:p w14:paraId="49A36BBE">
      <w:pPr>
        <w:widowControl/>
        <w:spacing w:line="520" w:lineRule="exact"/>
        <w:ind w:firstLine="560" w:firstLineChars="200"/>
        <w:jc w:val="left"/>
        <w:rPr>
          <w:rFonts w:hint="eastAsia" w:ascii="宋体" w:hAnsi="宋体" w:eastAsia="宋体" w:cs="宋体"/>
          <w:sz w:val="28"/>
          <w:szCs w:val="28"/>
          <w14:ligatures w14:val="none"/>
        </w:rPr>
      </w:pPr>
      <w:r>
        <w:rPr>
          <w:rFonts w:hint="eastAsia" w:ascii="宋体" w:hAnsi="宋体" w:eastAsia="宋体" w:cs="宋体"/>
          <w:sz w:val="28"/>
          <w:szCs w:val="28"/>
          <w14:ligatures w14:val="none"/>
        </w:rPr>
        <w:t>3.缴纳交易保证金、网上报名时间：</w:t>
      </w:r>
      <w:r>
        <w:rPr>
          <w:rFonts w:hint="eastAsia" w:ascii="宋体" w:hAnsi="宋体" w:eastAsia="宋体" w:cs="宋体"/>
          <w:sz w:val="28"/>
          <w:szCs w:val="28"/>
          <w:lang w:eastAsia="zh-CN"/>
          <w14:ligatures w14:val="none"/>
        </w:rPr>
        <w:t>2025</w:t>
      </w:r>
      <w:r>
        <w:rPr>
          <w:rFonts w:hint="eastAsia" w:ascii="宋体" w:hAnsi="宋体" w:eastAsia="宋体" w:cs="宋体"/>
          <w:sz w:val="28"/>
          <w:szCs w:val="28"/>
          <w14:ligatures w14:val="none"/>
        </w:rPr>
        <w:t>年</w:t>
      </w:r>
      <w:r>
        <w:rPr>
          <w:rFonts w:hint="eastAsia" w:ascii="宋体" w:hAnsi="宋体" w:eastAsia="宋体" w:cs="宋体"/>
          <w:sz w:val="28"/>
          <w:szCs w:val="28"/>
          <w:lang w:val="en-US" w:eastAsia="zh-CN"/>
          <w14:ligatures w14:val="none"/>
        </w:rPr>
        <w:t>5</w:t>
      </w:r>
      <w:r>
        <w:rPr>
          <w:rFonts w:hint="eastAsia" w:ascii="宋体" w:hAnsi="宋体" w:eastAsia="宋体" w:cs="宋体"/>
          <w:sz w:val="28"/>
          <w:szCs w:val="28"/>
          <w14:ligatures w14:val="none"/>
        </w:rPr>
        <w:t>月</w:t>
      </w:r>
      <w:r>
        <w:rPr>
          <w:rFonts w:hint="eastAsia" w:ascii="宋体" w:hAnsi="宋体" w:eastAsia="宋体" w:cs="宋体"/>
          <w:sz w:val="28"/>
          <w:szCs w:val="28"/>
          <w:lang w:val="en-US" w:eastAsia="zh-CN"/>
          <w14:ligatures w14:val="none"/>
        </w:rPr>
        <w:t>14</w:t>
      </w:r>
      <w:r>
        <w:rPr>
          <w:rFonts w:hint="eastAsia" w:ascii="宋体" w:hAnsi="宋体" w:eastAsia="宋体" w:cs="宋体"/>
          <w:sz w:val="28"/>
          <w:szCs w:val="28"/>
          <w14:ligatures w14:val="none"/>
        </w:rPr>
        <w:t>日至</w:t>
      </w:r>
      <w:r>
        <w:rPr>
          <w:rFonts w:hint="eastAsia" w:ascii="宋体" w:hAnsi="宋体" w:eastAsia="宋体" w:cs="宋体"/>
          <w:sz w:val="28"/>
          <w:szCs w:val="28"/>
          <w:lang w:eastAsia="zh-CN"/>
          <w14:ligatures w14:val="none"/>
        </w:rPr>
        <w:t>2025</w:t>
      </w:r>
      <w:r>
        <w:rPr>
          <w:rFonts w:hint="eastAsia" w:ascii="宋体" w:hAnsi="宋体" w:eastAsia="宋体" w:cs="宋体"/>
          <w:sz w:val="28"/>
          <w:szCs w:val="28"/>
          <w14:ligatures w14:val="none"/>
        </w:rPr>
        <w:t>年</w:t>
      </w:r>
      <w:r>
        <w:rPr>
          <w:rFonts w:hint="eastAsia" w:ascii="宋体" w:hAnsi="宋体" w:eastAsia="宋体" w:cs="宋体"/>
          <w:sz w:val="28"/>
          <w:szCs w:val="28"/>
          <w:lang w:val="en-US" w:eastAsia="zh-CN"/>
          <w14:ligatures w14:val="none"/>
        </w:rPr>
        <w:t>5</w:t>
      </w:r>
      <w:r>
        <w:rPr>
          <w:rFonts w:hint="eastAsia" w:ascii="宋体" w:hAnsi="宋体" w:eastAsia="宋体" w:cs="宋体"/>
          <w:sz w:val="28"/>
          <w:szCs w:val="28"/>
          <w14:ligatures w14:val="none"/>
        </w:rPr>
        <w:t>月</w:t>
      </w:r>
      <w:r>
        <w:rPr>
          <w:rFonts w:hint="eastAsia" w:ascii="宋体" w:hAnsi="宋体" w:eastAsia="宋体" w:cs="宋体"/>
          <w:sz w:val="28"/>
          <w:szCs w:val="28"/>
          <w:lang w:val="en-US" w:eastAsia="zh-CN"/>
          <w14:ligatures w14:val="none"/>
        </w:rPr>
        <w:t>23</w:t>
      </w:r>
      <w:r>
        <w:rPr>
          <w:rFonts w:hint="eastAsia" w:ascii="宋体" w:hAnsi="宋体" w:eastAsia="宋体" w:cs="宋体"/>
          <w:sz w:val="28"/>
          <w:szCs w:val="28"/>
          <w14:ligatures w14:val="none"/>
        </w:rPr>
        <w:t>日1</w:t>
      </w:r>
      <w:r>
        <w:rPr>
          <w:rFonts w:hint="eastAsia" w:ascii="宋体" w:hAnsi="宋体" w:eastAsia="宋体" w:cs="宋体"/>
          <w:sz w:val="28"/>
          <w:szCs w:val="28"/>
          <w:lang w:val="en-US" w:eastAsia="zh-CN"/>
          <w14:ligatures w14:val="none"/>
        </w:rPr>
        <w:t>8</w:t>
      </w:r>
      <w:r>
        <w:rPr>
          <w:rFonts w:hint="eastAsia" w:ascii="宋体" w:hAnsi="宋体" w:eastAsia="宋体" w:cs="宋体"/>
          <w:sz w:val="28"/>
          <w:szCs w:val="28"/>
          <w14:ligatures w14:val="none"/>
        </w:rPr>
        <w:t>时前（以银行到账为准）。</w:t>
      </w:r>
    </w:p>
    <w:p w14:paraId="1D6938AF">
      <w:pPr>
        <w:widowControl/>
        <w:spacing w:line="520" w:lineRule="exact"/>
        <w:ind w:firstLine="560" w:firstLineChars="200"/>
        <w:jc w:val="left"/>
        <w:rPr>
          <w:rFonts w:hint="eastAsia" w:ascii="宋体" w:hAnsi="宋体" w:eastAsia="宋体" w:cs="宋体"/>
          <w:sz w:val="28"/>
          <w:szCs w:val="28"/>
          <w14:ligatures w14:val="none"/>
        </w:rPr>
      </w:pPr>
      <w:r>
        <w:rPr>
          <w:rFonts w:hint="eastAsia" w:ascii="宋体" w:hAnsi="宋体" w:eastAsia="宋体" w:cs="宋体"/>
          <w:sz w:val="28"/>
          <w:szCs w:val="28"/>
          <w14:ligatures w14:val="none"/>
        </w:rPr>
        <w:t>（二）报名需提交的资料（上传提交的资料须为加盖公章的扫描件或照片）：</w:t>
      </w:r>
    </w:p>
    <w:p w14:paraId="68B05130">
      <w:pPr>
        <w:widowControl/>
        <w:spacing w:line="520" w:lineRule="exact"/>
        <w:ind w:firstLine="560" w:firstLineChars="200"/>
        <w:jc w:val="left"/>
        <w:rPr>
          <w:rFonts w:hint="eastAsia" w:ascii="宋体" w:hAnsi="宋体" w:eastAsia="宋体" w:cs="宋体"/>
          <w:sz w:val="28"/>
          <w:szCs w:val="28"/>
          <w14:ligatures w14:val="none"/>
        </w:rPr>
      </w:pPr>
      <w:r>
        <w:rPr>
          <w:rFonts w:hint="eastAsia" w:ascii="宋体" w:hAnsi="宋体" w:eastAsia="宋体" w:cs="宋体"/>
          <w:sz w:val="28"/>
          <w:szCs w:val="28"/>
          <w14:ligatures w14:val="none"/>
        </w:rPr>
        <w:t>1.意向受让（承租）方为具有中国国籍、完全民事行为能力自然人的，须提供居民身份证复印件。在委托代理情况下还须提供授权委托书原件及受托人身份证复印件（均须加盖双方手指模）；</w:t>
      </w:r>
    </w:p>
    <w:p w14:paraId="4F278071">
      <w:pPr>
        <w:widowControl/>
        <w:spacing w:line="520" w:lineRule="exact"/>
        <w:ind w:firstLine="560" w:firstLineChars="200"/>
        <w:jc w:val="left"/>
        <w:rPr>
          <w:rFonts w:hint="eastAsia" w:ascii="宋体" w:hAnsi="宋体" w:eastAsia="宋体" w:cs="宋体"/>
          <w:sz w:val="28"/>
          <w:szCs w:val="28"/>
          <w14:ligatures w14:val="none"/>
        </w:rPr>
      </w:pPr>
      <w:r>
        <w:rPr>
          <w:rFonts w:hint="eastAsia" w:ascii="宋体" w:hAnsi="宋体" w:eastAsia="宋体" w:cs="宋体"/>
          <w:sz w:val="28"/>
          <w:szCs w:val="28"/>
          <w14:ligatures w14:val="none"/>
        </w:rPr>
        <w:t>2.意向受让（承租）方为法人/非法人组织的，须提供法人/非法人组织资格证明复印件加盖公章、法定代表人/负责人身份证复印件加盖公章、法定代表人/负责人身份证明书原件加盖公章，在委托代理情况下还须提供授权委托书原件加盖公章及受托人身份证复印件加盖公章。</w:t>
      </w:r>
    </w:p>
    <w:p w14:paraId="39775F5E">
      <w:pPr>
        <w:widowControl/>
        <w:spacing w:line="520" w:lineRule="exact"/>
        <w:ind w:firstLine="560" w:firstLineChars="200"/>
        <w:jc w:val="left"/>
        <w:rPr>
          <w:rFonts w:hint="eastAsia" w:ascii="宋体" w:hAnsi="宋体" w:eastAsia="宋体" w:cs="宋体"/>
          <w:sz w:val="28"/>
          <w:szCs w:val="28"/>
          <w14:ligatures w14:val="none"/>
        </w:rPr>
      </w:pPr>
      <w:r>
        <w:rPr>
          <w:rFonts w:hint="eastAsia" w:ascii="宋体" w:hAnsi="宋体" w:eastAsia="宋体" w:cs="宋体"/>
          <w:sz w:val="28"/>
          <w:szCs w:val="28"/>
          <w14:ligatures w14:val="none"/>
        </w:rPr>
        <w:t>3.意向受让（承租）方为工商登记注册个体户的，须提供工商登记注册个体户有效营业执照复印件加盖公章、个体户负责人居民身份证复印件加盖公章。在委托代理情况下还须提供授权委托书原件及受托人身份证复印件（均须加盖公章或双方手指模）；</w:t>
      </w:r>
    </w:p>
    <w:p w14:paraId="15ED3317">
      <w:pPr>
        <w:widowControl/>
        <w:spacing w:line="520" w:lineRule="exact"/>
        <w:ind w:firstLine="560" w:firstLineChars="200"/>
        <w:jc w:val="left"/>
        <w:rPr>
          <w:rFonts w:hint="eastAsia" w:ascii="宋体" w:hAnsi="宋体" w:eastAsia="宋体" w:cs="宋体"/>
          <w:sz w:val="28"/>
          <w:szCs w:val="28"/>
          <w14:ligatures w14:val="none"/>
        </w:rPr>
      </w:pPr>
      <w:r>
        <w:rPr>
          <w:rFonts w:hint="eastAsia" w:ascii="宋体" w:hAnsi="宋体" w:eastAsia="宋体" w:cs="宋体"/>
          <w:sz w:val="28"/>
          <w:szCs w:val="28"/>
          <w14:ligatures w14:val="none"/>
        </w:rPr>
        <w:t xml:space="preserve">4.意向受让（承租）方需保证所提交的资质、资格在公告发布之日至合同签订日期间真实、有效，并承诺在前述期间内不对影响项目报名的资质、资格进行变更。否则，一经发现，广州农交所有权取消意向受让（承租）方已取得的竞价资格。 </w:t>
      </w:r>
    </w:p>
    <w:p w14:paraId="47CDC4E2">
      <w:pPr>
        <w:widowControl/>
        <w:spacing w:line="520" w:lineRule="exact"/>
        <w:ind w:firstLine="560" w:firstLineChars="200"/>
        <w:jc w:val="left"/>
        <w:rPr>
          <w:rFonts w:hint="eastAsia" w:ascii="宋体" w:hAnsi="宋体" w:eastAsia="宋体" w:cs="宋体"/>
          <w:sz w:val="28"/>
          <w:szCs w:val="28"/>
          <w14:ligatures w14:val="none"/>
        </w:rPr>
      </w:pPr>
      <w:r>
        <w:rPr>
          <w:rFonts w:hint="eastAsia" w:ascii="宋体" w:hAnsi="宋体" w:eastAsia="宋体" w:cs="宋体"/>
          <w:sz w:val="28"/>
          <w:szCs w:val="28"/>
          <w14:ligatures w14:val="none"/>
        </w:rPr>
        <w:t xml:space="preserve">（三）其他事项： </w:t>
      </w:r>
    </w:p>
    <w:p w14:paraId="3C06EF8A">
      <w:pPr>
        <w:widowControl/>
        <w:spacing w:line="520" w:lineRule="exact"/>
        <w:ind w:firstLine="560" w:firstLineChars="200"/>
        <w:jc w:val="left"/>
        <w:rPr>
          <w:rFonts w:hint="eastAsia" w:ascii="宋体" w:hAnsi="宋体" w:eastAsia="宋体" w:cs="宋体"/>
          <w:sz w:val="28"/>
          <w:szCs w:val="28"/>
          <w14:ligatures w14:val="none"/>
        </w:rPr>
      </w:pPr>
      <w:r>
        <w:rPr>
          <w:rFonts w:hint="eastAsia" w:ascii="宋体" w:hAnsi="宋体" w:eastAsia="宋体" w:cs="宋体"/>
          <w:sz w:val="28"/>
          <w:szCs w:val="28"/>
          <w14:ligatures w14:val="none"/>
        </w:rPr>
        <w:t xml:space="preserve">1.同一项目编号同一意向受让（承租）方（法人或非法人组织或个体户或自然人）只能报名一次（因项目延期、中止、原受让（承租）方弃标重启除外）。 </w:t>
      </w:r>
    </w:p>
    <w:p w14:paraId="71204803">
      <w:pPr>
        <w:widowControl/>
        <w:spacing w:line="520" w:lineRule="exact"/>
        <w:ind w:firstLine="560" w:firstLineChars="200"/>
        <w:jc w:val="left"/>
        <w:rPr>
          <w:rFonts w:hint="eastAsia" w:ascii="宋体" w:hAnsi="宋体" w:eastAsia="宋体" w:cs="宋体"/>
          <w:sz w:val="28"/>
          <w:szCs w:val="28"/>
          <w14:ligatures w14:val="none"/>
        </w:rPr>
      </w:pPr>
      <w:r>
        <w:rPr>
          <w:rFonts w:hint="eastAsia" w:ascii="宋体" w:hAnsi="宋体" w:eastAsia="宋体" w:cs="宋体"/>
          <w:sz w:val="28"/>
          <w:szCs w:val="28"/>
          <w14:ligatures w14:val="none"/>
        </w:rPr>
        <w:t>2.本项目交易保证金需通过境内银行转账方式缴交，且交易保证金转账人、意向受让（承租）方、合同乙方须一致。</w:t>
      </w:r>
    </w:p>
    <w:p w14:paraId="7E7794D8">
      <w:pPr>
        <w:widowControl/>
        <w:spacing w:line="520" w:lineRule="exact"/>
        <w:ind w:firstLine="560" w:firstLineChars="200"/>
        <w:jc w:val="left"/>
        <w:rPr>
          <w:rFonts w:hint="eastAsia" w:ascii="宋体" w:hAnsi="宋体" w:eastAsia="宋体" w:cs="宋体"/>
          <w:sz w:val="28"/>
          <w:szCs w:val="28"/>
          <w14:ligatures w14:val="none"/>
        </w:rPr>
      </w:pPr>
      <w:r>
        <w:rPr>
          <w:rFonts w:hint="eastAsia" w:ascii="宋体" w:hAnsi="宋体" w:eastAsia="宋体" w:cs="宋体"/>
          <w:sz w:val="28"/>
          <w:szCs w:val="28"/>
          <w14:ligatures w14:val="none"/>
        </w:rPr>
        <w:t>3.意向受让（承租）方、意向受让（承租）方（法人、非法人组织等）的法定代表人、受委托人在广州农交所办理报名时，需签名的文件都必须由本人亲笔签名或电子签名。</w:t>
      </w:r>
    </w:p>
    <w:p w14:paraId="4C96291D">
      <w:pPr>
        <w:widowControl/>
        <w:spacing w:line="520" w:lineRule="exact"/>
        <w:ind w:firstLine="560" w:firstLineChars="200"/>
        <w:jc w:val="left"/>
        <w:rPr>
          <w:rFonts w:hint="eastAsia" w:ascii="宋体" w:hAnsi="宋体" w:eastAsia="宋体" w:cs="宋体"/>
          <w:sz w:val="28"/>
          <w:szCs w:val="28"/>
          <w14:ligatures w14:val="none"/>
        </w:rPr>
      </w:pPr>
      <w:r>
        <w:rPr>
          <w:rFonts w:hint="eastAsia" w:ascii="宋体" w:hAnsi="宋体" w:eastAsia="宋体" w:cs="宋体"/>
          <w:sz w:val="28"/>
          <w:szCs w:val="28"/>
          <w14:ligatures w14:val="none"/>
        </w:rPr>
        <w:t>五、法定优先权申报要求</w:t>
      </w:r>
    </w:p>
    <w:p w14:paraId="37B4271C">
      <w:pPr>
        <w:widowControl/>
        <w:spacing w:line="520" w:lineRule="exact"/>
        <w:ind w:firstLine="560" w:firstLineChars="200"/>
        <w:jc w:val="left"/>
        <w:rPr>
          <w:rFonts w:hint="eastAsia" w:ascii="宋体" w:hAnsi="宋体" w:eastAsia="宋体" w:cs="宋体"/>
          <w:sz w:val="28"/>
          <w:szCs w:val="28"/>
          <w14:ligatures w14:val="none"/>
        </w:rPr>
      </w:pPr>
      <w:bookmarkStart w:id="6" w:name="_Hlk116140967"/>
      <w:r>
        <w:rPr>
          <w:rFonts w:hint="eastAsia" w:ascii="宋体" w:hAnsi="宋体" w:eastAsia="宋体" w:cs="宋体"/>
          <w:sz w:val="28"/>
          <w:szCs w:val="28"/>
          <w14:ligatures w14:val="none"/>
        </w:rPr>
        <w:t>本项目</w:t>
      </w:r>
      <w:r>
        <w:rPr>
          <w:rFonts w:hint="eastAsia" w:ascii="宋体" w:hAnsi="宋体" w:eastAsia="宋体" w:cs="宋体"/>
          <w:sz w:val="28"/>
          <w:szCs w:val="28"/>
          <w:u w:val="single"/>
          <w14:ligatures w14:val="none"/>
        </w:rPr>
        <w:t xml:space="preserve"> 无 </w:t>
      </w:r>
      <w:r>
        <w:rPr>
          <w:rFonts w:hint="eastAsia" w:ascii="宋体" w:hAnsi="宋体" w:eastAsia="宋体" w:cs="宋体"/>
          <w:sz w:val="28"/>
          <w:szCs w:val="28"/>
          <w14:ligatures w14:val="none"/>
        </w:rPr>
        <w:t>享有法定优先权的个人或单位。</w:t>
      </w:r>
      <w:bookmarkEnd w:id="6"/>
    </w:p>
    <w:p w14:paraId="154D3464">
      <w:pPr>
        <w:widowControl/>
        <w:spacing w:line="520" w:lineRule="exact"/>
        <w:ind w:firstLine="560" w:firstLineChars="200"/>
        <w:jc w:val="left"/>
        <w:rPr>
          <w:rFonts w:hint="eastAsia" w:ascii="宋体" w:hAnsi="宋体" w:eastAsia="宋体" w:cs="宋体"/>
          <w:sz w:val="28"/>
          <w:szCs w:val="28"/>
          <w14:ligatures w14:val="none"/>
        </w:rPr>
      </w:pPr>
      <w:r>
        <w:rPr>
          <w:rFonts w:hint="eastAsia" w:ascii="宋体" w:hAnsi="宋体" w:eastAsia="宋体" w:cs="宋体"/>
          <w:sz w:val="28"/>
          <w:szCs w:val="28"/>
          <w14:ligatures w14:val="none"/>
        </w:rPr>
        <w:t xml:space="preserve">六、交易保证金交纳要求 </w:t>
      </w:r>
    </w:p>
    <w:p w14:paraId="06731FB2">
      <w:pPr>
        <w:widowControl/>
        <w:spacing w:line="520" w:lineRule="exact"/>
        <w:ind w:firstLine="560" w:firstLineChars="200"/>
        <w:jc w:val="left"/>
        <w:rPr>
          <w:rFonts w:hint="eastAsia" w:ascii="宋体" w:hAnsi="宋体" w:eastAsia="宋体" w:cs="宋体"/>
          <w:sz w:val="28"/>
          <w:szCs w:val="28"/>
          <w14:ligatures w14:val="none"/>
        </w:rPr>
      </w:pPr>
      <w:r>
        <w:rPr>
          <w:rFonts w:hint="eastAsia" w:ascii="宋体" w:hAnsi="宋体" w:eastAsia="宋体" w:cs="宋体"/>
          <w:sz w:val="28"/>
          <w:szCs w:val="28"/>
          <w14:ligatures w14:val="none"/>
        </w:rPr>
        <w:t>本项目保证金具体银行账号请于报名成功后，登录用户中心，在“已报名项目”栏目，选择本项目并点击对应的“保证金-待缴款”按钮进行查看，此账号为本项目唯一保证金监管账号，请务必按照公告要求按时向本账号交纳保证金，切勿打入其他标的账户或他人账户， 避免造成无效保证金！如有任何疑问，请及时与本项目经办人联系。</w:t>
      </w:r>
    </w:p>
    <w:p w14:paraId="0B4CF10F">
      <w:pPr>
        <w:widowControl/>
        <w:spacing w:line="520" w:lineRule="exact"/>
        <w:ind w:firstLine="560" w:firstLineChars="200"/>
        <w:jc w:val="left"/>
        <w:rPr>
          <w:rFonts w:hint="eastAsia" w:ascii="宋体" w:hAnsi="宋体" w:eastAsia="宋体" w:cs="宋体"/>
          <w:sz w:val="28"/>
          <w:szCs w:val="28"/>
          <w14:ligatures w14:val="none"/>
        </w:rPr>
      </w:pPr>
      <w:r>
        <w:rPr>
          <w:rFonts w:hint="eastAsia" w:ascii="宋体" w:hAnsi="宋体" w:eastAsia="宋体" w:cs="宋体"/>
          <w:sz w:val="28"/>
          <w:szCs w:val="28"/>
          <w14:ligatures w14:val="none"/>
        </w:rPr>
        <w:t>（一）注意事项：</w:t>
      </w:r>
    </w:p>
    <w:p w14:paraId="25BCD8FA">
      <w:pPr>
        <w:widowControl/>
        <w:spacing w:line="520" w:lineRule="exact"/>
        <w:ind w:firstLine="560" w:firstLineChars="200"/>
        <w:jc w:val="left"/>
        <w:rPr>
          <w:rFonts w:hint="eastAsia" w:ascii="宋体" w:hAnsi="宋体" w:eastAsia="宋体" w:cs="宋体"/>
          <w:sz w:val="28"/>
          <w:szCs w:val="28"/>
          <w14:ligatures w14:val="none"/>
        </w:rPr>
      </w:pPr>
      <w:r>
        <w:rPr>
          <w:rFonts w:hint="eastAsia" w:ascii="宋体" w:hAnsi="宋体" w:eastAsia="宋体" w:cs="宋体"/>
          <w:sz w:val="28"/>
          <w:szCs w:val="28"/>
          <w14:ligatures w14:val="none"/>
        </w:rPr>
        <w:t>1.交易保证金须在指定时间内实名到账方有效，以银行到账时间为准，如因跨行转账所产生的延迟到账问题由受让（承租）方承担不利后果。</w:t>
      </w:r>
    </w:p>
    <w:p w14:paraId="269AF958">
      <w:pPr>
        <w:widowControl/>
        <w:spacing w:line="520" w:lineRule="exact"/>
        <w:ind w:firstLine="560" w:firstLineChars="200"/>
        <w:jc w:val="left"/>
        <w:rPr>
          <w:rFonts w:hint="eastAsia" w:ascii="宋体" w:hAnsi="宋体" w:eastAsia="宋体" w:cs="宋体"/>
          <w:sz w:val="28"/>
          <w:szCs w:val="28"/>
          <w14:ligatures w14:val="none"/>
        </w:rPr>
      </w:pPr>
      <w:r>
        <w:rPr>
          <w:rFonts w:hint="eastAsia" w:ascii="宋体" w:hAnsi="宋体" w:eastAsia="宋体" w:cs="宋体"/>
          <w:sz w:val="28"/>
          <w:szCs w:val="28"/>
          <w14:ligatures w14:val="none"/>
        </w:rPr>
        <w:t>2.交易保证金必须以意向受让（承租）方的同名账户通过银行转账，不接受其他方式（包括但不限于现金汇款、支付宝、微信、第三方、公证委托等）转账。除项目业主单位同意并书面授权外，所有到账的交易保证金处理方式如下：</w:t>
      </w:r>
    </w:p>
    <w:p w14:paraId="225C7A64">
      <w:pPr>
        <w:widowControl/>
        <w:spacing w:line="520" w:lineRule="exact"/>
        <w:ind w:firstLine="560" w:firstLineChars="200"/>
        <w:jc w:val="left"/>
        <w:rPr>
          <w:rFonts w:hint="eastAsia" w:ascii="宋体" w:hAnsi="宋体" w:eastAsia="宋体" w:cs="宋体"/>
          <w:sz w:val="28"/>
          <w:szCs w:val="28"/>
          <w14:ligatures w14:val="none"/>
        </w:rPr>
      </w:pPr>
      <w:r>
        <w:rPr>
          <w:rFonts w:hint="eastAsia" w:ascii="宋体" w:hAnsi="宋体" w:eastAsia="宋体" w:cs="宋体"/>
          <w:sz w:val="28"/>
          <w:szCs w:val="28"/>
          <w14:ligatures w14:val="none"/>
        </w:rPr>
        <w:t>（1）若意向受让（承租）方未被确认为交易标的受让（承租）方的，在交易结束后5个工作日内，广州农交所按规定将其交易保证金不计利息原路退回。</w:t>
      </w:r>
    </w:p>
    <w:p w14:paraId="50D00480">
      <w:pPr>
        <w:widowControl/>
        <w:spacing w:line="520" w:lineRule="exact"/>
        <w:ind w:firstLine="560" w:firstLineChars="200"/>
        <w:jc w:val="left"/>
        <w:rPr>
          <w:rFonts w:hint="eastAsia" w:ascii="宋体" w:hAnsi="宋体" w:eastAsia="宋体" w:cs="宋体"/>
          <w:sz w:val="28"/>
          <w:szCs w:val="28"/>
          <w14:ligatures w14:val="none"/>
        </w:rPr>
      </w:pPr>
      <w:r>
        <w:rPr>
          <w:rFonts w:hint="eastAsia" w:ascii="宋体" w:hAnsi="宋体" w:eastAsia="宋体" w:cs="宋体"/>
          <w:sz w:val="28"/>
          <w:szCs w:val="28"/>
          <w14:ligatures w14:val="none"/>
        </w:rPr>
        <w:t>（2）若意向受让（承租）方被确认为交易标的受让（承租）方，</w:t>
      </w:r>
      <w:r>
        <w:rPr>
          <w:rFonts w:hint="eastAsia" w:ascii="宋体" w:hAnsi="宋体" w:eastAsia="宋体" w:cs="宋体"/>
          <w:sz w:val="28"/>
          <w:szCs w:val="28"/>
          <w:lang w:val="en-US" w:eastAsia="zh-CN"/>
          <w14:ligatures w14:val="none"/>
        </w:rPr>
        <w:t>签订成交确认书后三个工作日内，出租方向</w:t>
      </w:r>
      <w:r>
        <w:rPr>
          <w:rFonts w:hint="eastAsia" w:ascii="宋体" w:hAnsi="宋体" w:eastAsia="宋体" w:cs="宋体"/>
          <w:sz w:val="28"/>
          <w:szCs w:val="28"/>
          <w14:ligatures w14:val="none"/>
        </w:rPr>
        <w:t>广州农交所</w:t>
      </w:r>
      <w:r>
        <w:rPr>
          <w:rFonts w:hint="eastAsia" w:ascii="宋体" w:hAnsi="宋体" w:eastAsia="宋体" w:cs="宋体"/>
          <w:sz w:val="28"/>
          <w:szCs w:val="28"/>
          <w:lang w:val="en-US" w:eastAsia="zh-CN"/>
          <w14:ligatures w14:val="none"/>
        </w:rPr>
        <w:t>支付服务费，收到服务费后，广州农交所将</w:t>
      </w:r>
      <w:r>
        <w:rPr>
          <w:rFonts w:hint="eastAsia" w:ascii="宋体" w:hAnsi="宋体" w:eastAsia="宋体" w:cs="宋体"/>
          <w:sz w:val="28"/>
          <w:szCs w:val="28"/>
          <w14:ligatures w14:val="none"/>
        </w:rPr>
        <w:t>交易保证金3个工作日内作为合同押金按约定不计利息转至项目出租方指定账户，不足部分，由受让（承租）方须在签署租赁合同前向项目出租方补足。</w:t>
      </w:r>
    </w:p>
    <w:p w14:paraId="6F7AE391">
      <w:pPr>
        <w:widowControl/>
        <w:spacing w:line="520" w:lineRule="exact"/>
        <w:ind w:firstLine="560" w:firstLineChars="200"/>
        <w:jc w:val="left"/>
        <w:rPr>
          <w:rFonts w:hint="eastAsia" w:ascii="宋体" w:hAnsi="宋体" w:eastAsia="宋体" w:cs="宋体"/>
          <w:sz w:val="28"/>
          <w:szCs w:val="28"/>
          <w14:ligatures w14:val="none"/>
        </w:rPr>
      </w:pPr>
      <w:r>
        <w:rPr>
          <w:rFonts w:hint="eastAsia" w:ascii="宋体" w:hAnsi="宋体" w:eastAsia="宋体" w:cs="宋体"/>
          <w:sz w:val="28"/>
          <w:szCs w:val="28"/>
          <w14:ligatures w14:val="none"/>
        </w:rPr>
        <w:t>（3）意向受让（承租）方被确认为交易标的受让（承租）方后，如出现违反如下（二）“保证内容”中的任一情形的，视为违约，其交纳的交易保证金不予退回，由广州农交所扣除其应付给本司的交易服务费后，余额作为违约金划归项目出租方所有。</w:t>
      </w:r>
    </w:p>
    <w:p w14:paraId="5FFD6901">
      <w:pPr>
        <w:widowControl/>
        <w:spacing w:line="520" w:lineRule="exact"/>
        <w:ind w:firstLine="560" w:firstLineChars="200"/>
        <w:jc w:val="left"/>
        <w:rPr>
          <w:rFonts w:hint="eastAsia" w:ascii="宋体" w:hAnsi="宋体" w:eastAsia="宋体" w:cs="宋体"/>
          <w:sz w:val="28"/>
          <w:szCs w:val="28"/>
          <w14:ligatures w14:val="none"/>
        </w:rPr>
      </w:pPr>
      <w:r>
        <w:rPr>
          <w:rFonts w:hint="eastAsia" w:ascii="宋体" w:hAnsi="宋体" w:eastAsia="宋体" w:cs="宋体"/>
          <w:sz w:val="28"/>
          <w:szCs w:val="28"/>
          <w14:ligatures w14:val="none"/>
        </w:rPr>
        <w:t>（二）保证内容：</w:t>
      </w:r>
    </w:p>
    <w:p w14:paraId="17B2462D">
      <w:pPr>
        <w:widowControl/>
        <w:spacing w:line="520" w:lineRule="exact"/>
        <w:ind w:firstLine="560" w:firstLineChars="200"/>
        <w:jc w:val="left"/>
        <w:rPr>
          <w:rFonts w:hint="eastAsia" w:ascii="宋体" w:hAnsi="宋体" w:eastAsia="宋体" w:cs="宋体"/>
          <w:sz w:val="28"/>
          <w:szCs w:val="28"/>
          <w14:ligatures w14:val="none"/>
        </w:rPr>
      </w:pPr>
      <w:r>
        <w:rPr>
          <w:rFonts w:hint="eastAsia" w:ascii="宋体" w:hAnsi="宋体" w:eastAsia="宋体" w:cs="宋体"/>
          <w:sz w:val="28"/>
          <w:szCs w:val="28"/>
          <w14:ligatures w14:val="none"/>
        </w:rPr>
        <w:t>1.意向受让（承租）方被确认为交易标的受让（承租）方后，该受让（承租）方应按公告、交易须知的约定在3个工作日内与项目业主单位和广州农交所签署《成交确认书》（具体签署时间请留意电话和短信通知），并在项目成交结果公示结束后3个工作日内与项目业主单位签署《租赁合同》。</w:t>
      </w:r>
    </w:p>
    <w:p w14:paraId="2D3AE020">
      <w:pPr>
        <w:widowControl/>
        <w:spacing w:line="520" w:lineRule="exact"/>
        <w:ind w:firstLine="560" w:firstLineChars="200"/>
        <w:jc w:val="left"/>
        <w:rPr>
          <w:rFonts w:hint="eastAsia" w:ascii="宋体" w:hAnsi="宋体" w:eastAsia="宋体" w:cs="宋体"/>
          <w:sz w:val="28"/>
          <w:szCs w:val="28"/>
          <w14:ligatures w14:val="none"/>
        </w:rPr>
      </w:pPr>
      <w:r>
        <w:rPr>
          <w:rFonts w:hint="eastAsia" w:ascii="宋体" w:hAnsi="宋体" w:eastAsia="宋体" w:cs="宋体"/>
          <w:sz w:val="28"/>
          <w:szCs w:val="28"/>
          <w14:ligatures w14:val="none"/>
        </w:rPr>
        <w:t>2.受让（承租）方在签订《成交确认书》后</w:t>
      </w:r>
      <w:r>
        <w:rPr>
          <w:rFonts w:hint="eastAsia" w:ascii="宋体" w:hAnsi="宋体" w:eastAsia="宋体" w:cs="宋体"/>
          <w:sz w:val="28"/>
          <w:szCs w:val="28"/>
          <w:lang w:eastAsia="zh-CN"/>
          <w14:ligatures w14:val="none"/>
        </w:rPr>
        <w:t>，</w:t>
      </w:r>
      <w:r>
        <w:rPr>
          <w:rFonts w:hint="eastAsia" w:ascii="宋体" w:hAnsi="宋体" w:eastAsia="宋体" w:cs="宋体"/>
          <w:sz w:val="28"/>
          <w:szCs w:val="28"/>
          <w:lang w:val="en-US" w:eastAsia="zh-CN"/>
          <w14:ligatures w14:val="none"/>
        </w:rPr>
        <w:t>出租方</w:t>
      </w:r>
      <w:r>
        <w:rPr>
          <w:rFonts w:hint="eastAsia" w:ascii="宋体" w:hAnsi="宋体" w:eastAsia="宋体" w:cs="宋体"/>
          <w:sz w:val="28"/>
          <w:szCs w:val="28"/>
          <w14:ligatures w14:val="none"/>
        </w:rPr>
        <w:t>应按照约定向广州农交所支付交易服务费（服务费收取不因合同执行情况发生改变）。</w:t>
      </w:r>
    </w:p>
    <w:p w14:paraId="00ABF5B2">
      <w:pPr>
        <w:widowControl/>
        <w:spacing w:line="52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14:ligatures w14:val="none"/>
        </w:rPr>
        <w:t>3.受让（承租）方在应在交易结果公示结束后3个工作日内签订《租赁合同》前，按约定履行支付相关款项等义务。</w:t>
      </w:r>
    </w:p>
    <w:p w14:paraId="1EC3368A">
      <w:pPr>
        <w:spacing w:line="520" w:lineRule="exact"/>
        <w:ind w:left="630"/>
        <w:rPr>
          <w:rFonts w:hint="eastAsia" w:ascii="宋体" w:hAnsi="宋体" w:eastAsia="宋体" w:cs="宋体"/>
          <w:b/>
          <w:bCs/>
          <w:sz w:val="28"/>
          <w:szCs w:val="28"/>
          <w14:ligatures w14:val="none"/>
        </w:rPr>
      </w:pPr>
      <w:r>
        <w:rPr>
          <w:rFonts w:hint="eastAsia" w:ascii="宋体" w:hAnsi="宋体" w:eastAsia="宋体" w:cs="宋体"/>
          <w:b/>
          <w:bCs/>
          <w:sz w:val="28"/>
          <w:szCs w:val="28"/>
          <w14:ligatures w14:val="none"/>
        </w:rPr>
        <w:t>七、交易服务费</w:t>
      </w:r>
    </w:p>
    <w:p w14:paraId="552F39B6">
      <w:pPr>
        <w:spacing w:line="720" w:lineRule="auto"/>
        <w:ind w:firstLine="280" w:firstLineChars="100"/>
        <w:rPr>
          <w:rFonts w:hint="eastAsia" w:ascii="宋体" w:hAnsi="宋体" w:eastAsia="宋体" w:cs="宋体"/>
          <w:kern w:val="0"/>
          <w:sz w:val="28"/>
          <w:szCs w:val="28"/>
        </w:rPr>
      </w:pPr>
      <w:r>
        <w:rPr>
          <w:rFonts w:hint="eastAsia" w:ascii="宋体" w:hAnsi="宋体" w:eastAsia="宋体" w:cs="宋体"/>
          <w:sz w:val="28"/>
          <w:szCs w:val="28"/>
          <w14:ligatures w14:val="none"/>
        </w:rPr>
        <w:t>（一）</w:t>
      </w:r>
      <w:r>
        <w:rPr>
          <w:rFonts w:hint="eastAsia" w:ascii="宋体" w:hAnsi="宋体" w:eastAsia="宋体" w:cs="宋体"/>
          <w:kern w:val="0"/>
          <w:sz w:val="28"/>
          <w:szCs w:val="28"/>
        </w:rPr>
        <w:t>物业出租服务费收费标准如下：</w:t>
      </w:r>
    </w:p>
    <w:tbl>
      <w:tblPr>
        <w:tblStyle w:val="7"/>
        <w:tblW w:w="8926" w:type="dxa"/>
        <w:jc w:val="center"/>
        <w:tblLayout w:type="autofit"/>
        <w:tblCellMar>
          <w:top w:w="0" w:type="dxa"/>
          <w:left w:w="108" w:type="dxa"/>
          <w:bottom w:w="0" w:type="dxa"/>
          <w:right w:w="108" w:type="dxa"/>
        </w:tblCellMar>
      </w:tblPr>
      <w:tblGrid>
        <w:gridCol w:w="4819"/>
        <w:gridCol w:w="1560"/>
        <w:gridCol w:w="2547"/>
      </w:tblGrid>
      <w:tr w14:paraId="05EBF9BC">
        <w:tblPrEx>
          <w:tblCellMar>
            <w:top w:w="0" w:type="dxa"/>
            <w:left w:w="108" w:type="dxa"/>
            <w:bottom w:w="0" w:type="dxa"/>
            <w:right w:w="108" w:type="dxa"/>
          </w:tblCellMar>
        </w:tblPrEx>
        <w:trPr>
          <w:trHeight w:val="907" w:hRule="exact"/>
          <w:jc w:val="center"/>
        </w:trPr>
        <w:tc>
          <w:tcPr>
            <w:tcW w:w="4819" w:type="dxa"/>
            <w:tcBorders>
              <w:top w:val="single" w:color="auto" w:sz="4" w:space="0"/>
              <w:left w:val="single" w:color="auto" w:sz="4" w:space="0"/>
              <w:bottom w:val="single" w:color="auto" w:sz="4" w:space="0"/>
              <w:right w:val="single" w:color="auto" w:sz="4" w:space="0"/>
            </w:tcBorders>
            <w:noWrap/>
            <w:vAlign w:val="bottom"/>
          </w:tcPr>
          <w:p w14:paraId="0FC5CE11">
            <w:pPr>
              <w:widowControl/>
              <w:spacing w:line="720" w:lineRule="auto"/>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交易成交额</w:t>
            </w:r>
          </w:p>
        </w:tc>
        <w:tc>
          <w:tcPr>
            <w:tcW w:w="1560" w:type="dxa"/>
            <w:tcBorders>
              <w:top w:val="single" w:color="auto" w:sz="4" w:space="0"/>
              <w:left w:val="nil"/>
              <w:bottom w:val="single" w:color="auto" w:sz="4" w:space="0"/>
              <w:right w:val="single" w:color="auto" w:sz="4" w:space="0"/>
            </w:tcBorders>
            <w:noWrap/>
            <w:vAlign w:val="bottom"/>
          </w:tcPr>
          <w:p w14:paraId="327F1893">
            <w:pPr>
              <w:widowControl/>
              <w:spacing w:line="720" w:lineRule="auto"/>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计费费率</w:t>
            </w:r>
          </w:p>
        </w:tc>
        <w:tc>
          <w:tcPr>
            <w:tcW w:w="2547" w:type="dxa"/>
            <w:tcBorders>
              <w:top w:val="single" w:color="auto" w:sz="4" w:space="0"/>
              <w:left w:val="nil"/>
              <w:bottom w:val="single" w:color="auto" w:sz="4" w:space="0"/>
              <w:right w:val="single" w:color="auto" w:sz="4" w:space="0"/>
            </w:tcBorders>
            <w:noWrap/>
            <w:vAlign w:val="bottom"/>
          </w:tcPr>
          <w:p w14:paraId="50DE944C">
            <w:pPr>
              <w:widowControl/>
              <w:spacing w:line="720" w:lineRule="auto"/>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备注</w:t>
            </w:r>
          </w:p>
        </w:tc>
      </w:tr>
      <w:tr w14:paraId="6FC01B93">
        <w:tblPrEx>
          <w:tblCellMar>
            <w:top w:w="0" w:type="dxa"/>
            <w:left w:w="108" w:type="dxa"/>
            <w:bottom w:w="0" w:type="dxa"/>
            <w:right w:w="108" w:type="dxa"/>
          </w:tblCellMar>
        </w:tblPrEx>
        <w:trPr>
          <w:trHeight w:val="907" w:hRule="exact"/>
          <w:jc w:val="center"/>
        </w:trPr>
        <w:tc>
          <w:tcPr>
            <w:tcW w:w="4819" w:type="dxa"/>
            <w:tcBorders>
              <w:top w:val="single" w:color="auto" w:sz="4" w:space="0"/>
              <w:left w:val="single" w:color="auto" w:sz="4" w:space="0"/>
              <w:bottom w:val="single" w:color="auto" w:sz="4" w:space="0"/>
              <w:right w:val="single" w:color="auto" w:sz="4" w:space="0"/>
            </w:tcBorders>
            <w:noWrap/>
            <w:vAlign w:val="bottom"/>
          </w:tcPr>
          <w:p w14:paraId="48D857C5">
            <w:pPr>
              <w:widowControl/>
              <w:spacing w:line="720" w:lineRule="auto"/>
              <w:jc w:val="left"/>
              <w:rPr>
                <w:rFonts w:hint="eastAsia" w:ascii="宋体" w:hAnsi="宋体" w:eastAsia="宋体" w:cs="宋体"/>
                <w:kern w:val="0"/>
                <w:sz w:val="28"/>
                <w:szCs w:val="28"/>
              </w:rPr>
            </w:pPr>
            <w:r>
              <w:rPr>
                <w:rFonts w:hint="eastAsia" w:ascii="宋体" w:hAnsi="宋体" w:eastAsia="宋体" w:cs="宋体"/>
                <w:kern w:val="0"/>
                <w:sz w:val="28"/>
                <w:szCs w:val="28"/>
              </w:rPr>
              <w:t>10万元以下（含10万元）</w:t>
            </w:r>
          </w:p>
        </w:tc>
        <w:tc>
          <w:tcPr>
            <w:tcW w:w="1560" w:type="dxa"/>
            <w:tcBorders>
              <w:top w:val="single" w:color="auto" w:sz="4" w:space="0"/>
              <w:left w:val="nil"/>
              <w:bottom w:val="single" w:color="auto" w:sz="4" w:space="0"/>
              <w:right w:val="single" w:color="auto" w:sz="4" w:space="0"/>
            </w:tcBorders>
            <w:noWrap/>
            <w:vAlign w:val="bottom"/>
          </w:tcPr>
          <w:p w14:paraId="2EABFC6E">
            <w:pPr>
              <w:spacing w:line="720" w:lineRule="auto"/>
              <w:jc w:val="center"/>
              <w:rPr>
                <w:rFonts w:hint="eastAsia" w:ascii="宋体" w:hAnsi="宋体" w:eastAsia="宋体" w:cs="宋体"/>
                <w:sz w:val="28"/>
                <w:szCs w:val="28"/>
              </w:rPr>
            </w:pPr>
            <w:r>
              <w:rPr>
                <w:rFonts w:hint="eastAsia" w:ascii="宋体" w:hAnsi="宋体" w:eastAsia="宋体" w:cs="宋体"/>
                <w:sz w:val="28"/>
                <w:szCs w:val="28"/>
              </w:rPr>
              <w:t>1.2%</w:t>
            </w:r>
          </w:p>
        </w:tc>
        <w:tc>
          <w:tcPr>
            <w:tcW w:w="2547" w:type="dxa"/>
            <w:vMerge w:val="restart"/>
            <w:tcBorders>
              <w:top w:val="single" w:color="auto" w:sz="4" w:space="0"/>
              <w:left w:val="single" w:color="auto" w:sz="4" w:space="0"/>
              <w:right w:val="single" w:color="auto" w:sz="4" w:space="0"/>
            </w:tcBorders>
            <w:vAlign w:val="center"/>
          </w:tcPr>
          <w:p w14:paraId="16FFD5F7">
            <w:pPr>
              <w:widowControl/>
              <w:spacing w:line="72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交易服务费根据合同总金额采用差额递减累进方式计算向竞得人（成交方）收取</w:t>
            </w:r>
          </w:p>
        </w:tc>
      </w:tr>
      <w:tr w14:paraId="5791AA76">
        <w:tblPrEx>
          <w:tblCellMar>
            <w:top w:w="0" w:type="dxa"/>
            <w:left w:w="108" w:type="dxa"/>
            <w:bottom w:w="0" w:type="dxa"/>
            <w:right w:w="108" w:type="dxa"/>
          </w:tblCellMar>
        </w:tblPrEx>
        <w:trPr>
          <w:trHeight w:val="907" w:hRule="exact"/>
          <w:jc w:val="center"/>
        </w:trPr>
        <w:tc>
          <w:tcPr>
            <w:tcW w:w="4819" w:type="dxa"/>
            <w:tcBorders>
              <w:top w:val="single" w:color="auto" w:sz="4" w:space="0"/>
              <w:left w:val="single" w:color="auto" w:sz="4" w:space="0"/>
              <w:bottom w:val="single" w:color="auto" w:sz="4" w:space="0"/>
              <w:right w:val="single" w:color="auto" w:sz="4" w:space="0"/>
            </w:tcBorders>
            <w:noWrap/>
            <w:vAlign w:val="bottom"/>
          </w:tcPr>
          <w:p w14:paraId="37EED51B">
            <w:pPr>
              <w:widowControl/>
              <w:spacing w:line="720" w:lineRule="auto"/>
              <w:jc w:val="left"/>
              <w:rPr>
                <w:rFonts w:hint="eastAsia" w:ascii="宋体" w:hAnsi="宋体" w:eastAsia="宋体" w:cs="宋体"/>
                <w:kern w:val="0"/>
                <w:sz w:val="28"/>
                <w:szCs w:val="28"/>
              </w:rPr>
            </w:pPr>
            <w:r>
              <w:rPr>
                <w:rFonts w:hint="eastAsia" w:ascii="宋体" w:hAnsi="宋体" w:eastAsia="宋体" w:cs="宋体"/>
                <w:kern w:val="0"/>
                <w:sz w:val="28"/>
                <w:szCs w:val="28"/>
              </w:rPr>
              <w:t>10万元以上-50万元（含）部分</w:t>
            </w:r>
          </w:p>
        </w:tc>
        <w:tc>
          <w:tcPr>
            <w:tcW w:w="1560" w:type="dxa"/>
            <w:tcBorders>
              <w:top w:val="single" w:color="auto" w:sz="4" w:space="0"/>
              <w:left w:val="nil"/>
              <w:bottom w:val="single" w:color="auto" w:sz="4" w:space="0"/>
              <w:right w:val="single" w:color="auto" w:sz="4" w:space="0"/>
            </w:tcBorders>
            <w:noWrap/>
            <w:vAlign w:val="bottom"/>
          </w:tcPr>
          <w:p w14:paraId="60724CA4">
            <w:pPr>
              <w:spacing w:line="720" w:lineRule="auto"/>
              <w:jc w:val="center"/>
              <w:rPr>
                <w:rFonts w:hint="eastAsia" w:ascii="宋体" w:hAnsi="宋体" w:eastAsia="宋体" w:cs="宋体"/>
                <w:sz w:val="28"/>
                <w:szCs w:val="28"/>
              </w:rPr>
            </w:pPr>
            <w:r>
              <w:rPr>
                <w:rFonts w:hint="eastAsia" w:ascii="宋体" w:hAnsi="宋体" w:eastAsia="宋体" w:cs="宋体"/>
                <w:sz w:val="28"/>
                <w:szCs w:val="28"/>
              </w:rPr>
              <w:t>1%</w:t>
            </w:r>
          </w:p>
        </w:tc>
        <w:tc>
          <w:tcPr>
            <w:tcW w:w="2547" w:type="dxa"/>
            <w:vMerge w:val="continue"/>
            <w:tcBorders>
              <w:left w:val="single" w:color="auto" w:sz="4" w:space="0"/>
              <w:right w:val="single" w:color="auto" w:sz="4" w:space="0"/>
            </w:tcBorders>
            <w:vAlign w:val="center"/>
          </w:tcPr>
          <w:p w14:paraId="1BF315A2">
            <w:pPr>
              <w:widowControl/>
              <w:spacing w:line="720" w:lineRule="auto"/>
              <w:jc w:val="left"/>
              <w:rPr>
                <w:rFonts w:hint="eastAsia" w:ascii="宋体" w:hAnsi="宋体" w:eastAsia="宋体" w:cs="宋体"/>
                <w:kern w:val="0"/>
                <w:sz w:val="28"/>
                <w:szCs w:val="28"/>
              </w:rPr>
            </w:pPr>
          </w:p>
        </w:tc>
      </w:tr>
      <w:tr w14:paraId="631CDAD0">
        <w:tblPrEx>
          <w:tblCellMar>
            <w:top w:w="0" w:type="dxa"/>
            <w:left w:w="108" w:type="dxa"/>
            <w:bottom w:w="0" w:type="dxa"/>
            <w:right w:w="108" w:type="dxa"/>
          </w:tblCellMar>
        </w:tblPrEx>
        <w:trPr>
          <w:trHeight w:val="907" w:hRule="exact"/>
          <w:jc w:val="center"/>
        </w:trPr>
        <w:tc>
          <w:tcPr>
            <w:tcW w:w="4819" w:type="dxa"/>
            <w:tcBorders>
              <w:top w:val="single" w:color="auto" w:sz="4" w:space="0"/>
              <w:left w:val="single" w:color="auto" w:sz="4" w:space="0"/>
              <w:bottom w:val="single" w:color="auto" w:sz="4" w:space="0"/>
              <w:right w:val="single" w:color="auto" w:sz="4" w:space="0"/>
            </w:tcBorders>
            <w:noWrap/>
            <w:vAlign w:val="bottom"/>
          </w:tcPr>
          <w:p w14:paraId="0A455D11">
            <w:pPr>
              <w:widowControl/>
              <w:spacing w:line="720" w:lineRule="auto"/>
              <w:jc w:val="left"/>
              <w:rPr>
                <w:rFonts w:hint="eastAsia" w:ascii="宋体" w:hAnsi="宋体" w:eastAsia="宋体" w:cs="宋体"/>
                <w:kern w:val="0"/>
                <w:sz w:val="28"/>
                <w:szCs w:val="28"/>
              </w:rPr>
            </w:pPr>
            <w:r>
              <w:rPr>
                <w:rFonts w:hint="eastAsia" w:ascii="宋体" w:hAnsi="宋体" w:eastAsia="宋体" w:cs="宋体"/>
                <w:kern w:val="0"/>
                <w:sz w:val="28"/>
                <w:szCs w:val="28"/>
              </w:rPr>
              <w:t>50万元部分-100万元（含）部分</w:t>
            </w:r>
          </w:p>
        </w:tc>
        <w:tc>
          <w:tcPr>
            <w:tcW w:w="1560" w:type="dxa"/>
            <w:tcBorders>
              <w:top w:val="single" w:color="auto" w:sz="4" w:space="0"/>
              <w:left w:val="nil"/>
              <w:bottom w:val="single" w:color="auto" w:sz="4" w:space="0"/>
              <w:right w:val="single" w:color="auto" w:sz="4" w:space="0"/>
            </w:tcBorders>
            <w:noWrap/>
            <w:vAlign w:val="bottom"/>
          </w:tcPr>
          <w:p w14:paraId="221013BE">
            <w:pPr>
              <w:spacing w:line="720" w:lineRule="auto"/>
              <w:jc w:val="center"/>
              <w:rPr>
                <w:rFonts w:hint="eastAsia" w:ascii="宋体" w:hAnsi="宋体" w:eastAsia="宋体" w:cs="宋体"/>
                <w:sz w:val="28"/>
                <w:szCs w:val="28"/>
              </w:rPr>
            </w:pPr>
            <w:r>
              <w:rPr>
                <w:rFonts w:hint="eastAsia" w:ascii="宋体" w:hAnsi="宋体" w:eastAsia="宋体" w:cs="宋体"/>
                <w:sz w:val="28"/>
                <w:szCs w:val="28"/>
              </w:rPr>
              <w:t>0.8%</w:t>
            </w:r>
          </w:p>
        </w:tc>
        <w:tc>
          <w:tcPr>
            <w:tcW w:w="2547" w:type="dxa"/>
            <w:vMerge w:val="continue"/>
            <w:tcBorders>
              <w:left w:val="single" w:color="auto" w:sz="4" w:space="0"/>
              <w:right w:val="single" w:color="auto" w:sz="4" w:space="0"/>
            </w:tcBorders>
            <w:vAlign w:val="center"/>
          </w:tcPr>
          <w:p w14:paraId="5DD22D33">
            <w:pPr>
              <w:widowControl/>
              <w:spacing w:line="720" w:lineRule="auto"/>
              <w:jc w:val="left"/>
              <w:rPr>
                <w:rFonts w:hint="eastAsia" w:ascii="宋体" w:hAnsi="宋体" w:eastAsia="宋体" w:cs="宋体"/>
                <w:kern w:val="0"/>
                <w:sz w:val="28"/>
                <w:szCs w:val="28"/>
              </w:rPr>
            </w:pPr>
          </w:p>
        </w:tc>
      </w:tr>
      <w:tr w14:paraId="412DA76A">
        <w:tblPrEx>
          <w:tblCellMar>
            <w:top w:w="0" w:type="dxa"/>
            <w:left w:w="108" w:type="dxa"/>
            <w:bottom w:w="0" w:type="dxa"/>
            <w:right w:w="108" w:type="dxa"/>
          </w:tblCellMar>
        </w:tblPrEx>
        <w:trPr>
          <w:trHeight w:val="907" w:hRule="exact"/>
          <w:jc w:val="center"/>
        </w:trPr>
        <w:tc>
          <w:tcPr>
            <w:tcW w:w="4819" w:type="dxa"/>
            <w:tcBorders>
              <w:top w:val="single" w:color="auto" w:sz="4" w:space="0"/>
              <w:left w:val="single" w:color="auto" w:sz="4" w:space="0"/>
              <w:bottom w:val="single" w:color="auto" w:sz="4" w:space="0"/>
              <w:right w:val="single" w:color="auto" w:sz="4" w:space="0"/>
            </w:tcBorders>
            <w:noWrap/>
            <w:vAlign w:val="bottom"/>
          </w:tcPr>
          <w:p w14:paraId="65033CDF">
            <w:pPr>
              <w:widowControl/>
              <w:spacing w:line="720" w:lineRule="auto"/>
              <w:jc w:val="left"/>
              <w:rPr>
                <w:rFonts w:hint="eastAsia" w:ascii="宋体" w:hAnsi="宋体" w:eastAsia="宋体" w:cs="宋体"/>
                <w:kern w:val="0"/>
                <w:sz w:val="28"/>
                <w:szCs w:val="28"/>
              </w:rPr>
            </w:pPr>
            <w:r>
              <w:rPr>
                <w:rFonts w:hint="eastAsia" w:ascii="宋体" w:hAnsi="宋体" w:eastAsia="宋体" w:cs="宋体"/>
                <w:kern w:val="0"/>
                <w:sz w:val="28"/>
                <w:szCs w:val="28"/>
              </w:rPr>
              <w:t>100万元以上-500万元（含）部分</w:t>
            </w:r>
          </w:p>
        </w:tc>
        <w:tc>
          <w:tcPr>
            <w:tcW w:w="1560" w:type="dxa"/>
            <w:tcBorders>
              <w:top w:val="single" w:color="auto" w:sz="4" w:space="0"/>
              <w:left w:val="nil"/>
              <w:bottom w:val="single" w:color="auto" w:sz="4" w:space="0"/>
              <w:right w:val="single" w:color="auto" w:sz="4" w:space="0"/>
            </w:tcBorders>
            <w:noWrap/>
            <w:vAlign w:val="bottom"/>
          </w:tcPr>
          <w:p w14:paraId="484312A6">
            <w:pPr>
              <w:spacing w:line="720" w:lineRule="auto"/>
              <w:jc w:val="center"/>
              <w:rPr>
                <w:rFonts w:hint="eastAsia" w:ascii="宋体" w:hAnsi="宋体" w:eastAsia="宋体" w:cs="宋体"/>
                <w:sz w:val="28"/>
                <w:szCs w:val="28"/>
              </w:rPr>
            </w:pPr>
            <w:r>
              <w:rPr>
                <w:rFonts w:hint="eastAsia" w:ascii="宋体" w:hAnsi="宋体" w:eastAsia="宋体" w:cs="宋体"/>
                <w:sz w:val="28"/>
                <w:szCs w:val="28"/>
              </w:rPr>
              <w:t>0.6%</w:t>
            </w:r>
          </w:p>
        </w:tc>
        <w:tc>
          <w:tcPr>
            <w:tcW w:w="2547" w:type="dxa"/>
            <w:vMerge w:val="continue"/>
            <w:tcBorders>
              <w:left w:val="single" w:color="auto" w:sz="4" w:space="0"/>
              <w:right w:val="single" w:color="auto" w:sz="4" w:space="0"/>
            </w:tcBorders>
            <w:vAlign w:val="center"/>
          </w:tcPr>
          <w:p w14:paraId="502F49C3">
            <w:pPr>
              <w:widowControl/>
              <w:spacing w:line="720" w:lineRule="auto"/>
              <w:jc w:val="left"/>
              <w:rPr>
                <w:rFonts w:hint="eastAsia" w:ascii="宋体" w:hAnsi="宋体" w:eastAsia="宋体" w:cs="宋体"/>
                <w:kern w:val="0"/>
                <w:sz w:val="28"/>
                <w:szCs w:val="28"/>
              </w:rPr>
            </w:pPr>
          </w:p>
        </w:tc>
      </w:tr>
      <w:tr w14:paraId="3B44D13E">
        <w:tblPrEx>
          <w:tblCellMar>
            <w:top w:w="0" w:type="dxa"/>
            <w:left w:w="108" w:type="dxa"/>
            <w:bottom w:w="0" w:type="dxa"/>
            <w:right w:w="108" w:type="dxa"/>
          </w:tblCellMar>
        </w:tblPrEx>
        <w:trPr>
          <w:trHeight w:val="907" w:hRule="exact"/>
          <w:jc w:val="center"/>
        </w:trPr>
        <w:tc>
          <w:tcPr>
            <w:tcW w:w="4819" w:type="dxa"/>
            <w:tcBorders>
              <w:top w:val="single" w:color="auto" w:sz="4" w:space="0"/>
              <w:left w:val="single" w:color="auto" w:sz="4" w:space="0"/>
              <w:bottom w:val="single" w:color="auto" w:sz="4" w:space="0"/>
              <w:right w:val="single" w:color="auto" w:sz="4" w:space="0"/>
            </w:tcBorders>
            <w:noWrap/>
            <w:vAlign w:val="bottom"/>
          </w:tcPr>
          <w:p w14:paraId="0F7C64BA">
            <w:pPr>
              <w:widowControl/>
              <w:spacing w:line="720" w:lineRule="auto"/>
              <w:jc w:val="left"/>
              <w:rPr>
                <w:rFonts w:hint="eastAsia" w:ascii="宋体" w:hAnsi="宋体" w:eastAsia="宋体" w:cs="宋体"/>
                <w:kern w:val="0"/>
                <w:sz w:val="28"/>
                <w:szCs w:val="28"/>
              </w:rPr>
            </w:pPr>
            <w:r>
              <w:rPr>
                <w:rFonts w:hint="eastAsia" w:ascii="宋体" w:hAnsi="宋体" w:eastAsia="宋体" w:cs="宋体"/>
                <w:kern w:val="0"/>
                <w:sz w:val="28"/>
                <w:szCs w:val="28"/>
              </w:rPr>
              <w:t>500万元以上-1000万元（含）部分</w:t>
            </w:r>
          </w:p>
        </w:tc>
        <w:tc>
          <w:tcPr>
            <w:tcW w:w="1560" w:type="dxa"/>
            <w:tcBorders>
              <w:top w:val="single" w:color="auto" w:sz="4" w:space="0"/>
              <w:left w:val="single" w:color="auto" w:sz="4" w:space="0"/>
              <w:bottom w:val="single" w:color="auto" w:sz="4" w:space="0"/>
              <w:right w:val="single" w:color="auto" w:sz="4" w:space="0"/>
            </w:tcBorders>
            <w:noWrap/>
            <w:vAlign w:val="bottom"/>
          </w:tcPr>
          <w:p w14:paraId="3230F788">
            <w:pPr>
              <w:spacing w:line="720" w:lineRule="auto"/>
              <w:jc w:val="center"/>
              <w:rPr>
                <w:rFonts w:hint="eastAsia" w:ascii="宋体" w:hAnsi="宋体" w:eastAsia="宋体" w:cs="宋体"/>
                <w:sz w:val="28"/>
                <w:szCs w:val="28"/>
              </w:rPr>
            </w:pPr>
            <w:r>
              <w:rPr>
                <w:rFonts w:hint="eastAsia" w:ascii="宋体" w:hAnsi="宋体" w:eastAsia="宋体" w:cs="宋体"/>
                <w:sz w:val="28"/>
                <w:szCs w:val="28"/>
              </w:rPr>
              <w:t>0.4%</w:t>
            </w:r>
          </w:p>
        </w:tc>
        <w:tc>
          <w:tcPr>
            <w:tcW w:w="2547" w:type="dxa"/>
            <w:vMerge w:val="continue"/>
            <w:tcBorders>
              <w:left w:val="single" w:color="auto" w:sz="4" w:space="0"/>
              <w:right w:val="single" w:color="auto" w:sz="4" w:space="0"/>
            </w:tcBorders>
            <w:vAlign w:val="center"/>
          </w:tcPr>
          <w:p w14:paraId="1B94EC95">
            <w:pPr>
              <w:widowControl/>
              <w:spacing w:line="720" w:lineRule="auto"/>
              <w:jc w:val="left"/>
              <w:rPr>
                <w:rFonts w:hint="eastAsia" w:ascii="宋体" w:hAnsi="宋体" w:eastAsia="宋体" w:cs="宋体"/>
                <w:kern w:val="0"/>
                <w:sz w:val="28"/>
                <w:szCs w:val="28"/>
              </w:rPr>
            </w:pPr>
          </w:p>
        </w:tc>
      </w:tr>
      <w:tr w14:paraId="2D647A67">
        <w:tblPrEx>
          <w:tblCellMar>
            <w:top w:w="0" w:type="dxa"/>
            <w:left w:w="108" w:type="dxa"/>
            <w:bottom w:w="0" w:type="dxa"/>
            <w:right w:w="108" w:type="dxa"/>
          </w:tblCellMar>
        </w:tblPrEx>
        <w:trPr>
          <w:trHeight w:val="907" w:hRule="exact"/>
          <w:jc w:val="center"/>
        </w:trPr>
        <w:tc>
          <w:tcPr>
            <w:tcW w:w="4819" w:type="dxa"/>
            <w:tcBorders>
              <w:top w:val="single" w:color="auto" w:sz="4" w:space="0"/>
              <w:left w:val="single" w:color="auto" w:sz="4" w:space="0"/>
              <w:bottom w:val="single" w:color="auto" w:sz="4" w:space="0"/>
              <w:right w:val="single" w:color="auto" w:sz="4" w:space="0"/>
            </w:tcBorders>
            <w:noWrap/>
            <w:vAlign w:val="bottom"/>
          </w:tcPr>
          <w:p w14:paraId="5A1C0B71">
            <w:pPr>
              <w:widowControl/>
              <w:spacing w:line="720" w:lineRule="auto"/>
              <w:jc w:val="left"/>
              <w:rPr>
                <w:rFonts w:hint="eastAsia" w:ascii="宋体" w:hAnsi="宋体" w:eastAsia="宋体" w:cs="宋体"/>
                <w:kern w:val="0"/>
                <w:sz w:val="28"/>
                <w:szCs w:val="28"/>
              </w:rPr>
            </w:pPr>
            <w:r>
              <w:rPr>
                <w:rFonts w:hint="eastAsia" w:ascii="宋体" w:hAnsi="宋体" w:eastAsia="宋体" w:cs="宋体"/>
                <w:kern w:val="0"/>
                <w:sz w:val="28"/>
                <w:szCs w:val="28"/>
              </w:rPr>
              <w:t>1000万元以上-5000万元（含）部分</w:t>
            </w:r>
          </w:p>
        </w:tc>
        <w:tc>
          <w:tcPr>
            <w:tcW w:w="1560" w:type="dxa"/>
            <w:tcBorders>
              <w:top w:val="single" w:color="auto" w:sz="4" w:space="0"/>
              <w:left w:val="single" w:color="auto" w:sz="4" w:space="0"/>
              <w:bottom w:val="single" w:color="auto" w:sz="4" w:space="0"/>
              <w:right w:val="single" w:color="auto" w:sz="4" w:space="0"/>
            </w:tcBorders>
            <w:noWrap/>
            <w:vAlign w:val="bottom"/>
          </w:tcPr>
          <w:p w14:paraId="00EFD8AE">
            <w:pPr>
              <w:spacing w:line="720" w:lineRule="auto"/>
              <w:jc w:val="center"/>
              <w:rPr>
                <w:rFonts w:hint="eastAsia" w:ascii="宋体" w:hAnsi="宋体" w:eastAsia="宋体" w:cs="宋体"/>
                <w:sz w:val="28"/>
                <w:szCs w:val="28"/>
              </w:rPr>
            </w:pPr>
            <w:r>
              <w:rPr>
                <w:rFonts w:hint="eastAsia" w:ascii="宋体" w:hAnsi="宋体" w:eastAsia="宋体" w:cs="宋体"/>
                <w:sz w:val="28"/>
                <w:szCs w:val="28"/>
              </w:rPr>
              <w:t>0.2%</w:t>
            </w:r>
          </w:p>
        </w:tc>
        <w:tc>
          <w:tcPr>
            <w:tcW w:w="2547" w:type="dxa"/>
            <w:vMerge w:val="continue"/>
            <w:tcBorders>
              <w:left w:val="single" w:color="auto" w:sz="4" w:space="0"/>
              <w:right w:val="single" w:color="auto" w:sz="4" w:space="0"/>
            </w:tcBorders>
            <w:vAlign w:val="center"/>
          </w:tcPr>
          <w:p w14:paraId="0C582A89">
            <w:pPr>
              <w:widowControl/>
              <w:spacing w:line="720" w:lineRule="auto"/>
              <w:jc w:val="left"/>
              <w:rPr>
                <w:rFonts w:hint="eastAsia" w:ascii="宋体" w:hAnsi="宋体" w:eastAsia="宋体" w:cs="宋体"/>
                <w:kern w:val="0"/>
                <w:sz w:val="28"/>
                <w:szCs w:val="28"/>
              </w:rPr>
            </w:pPr>
          </w:p>
        </w:tc>
      </w:tr>
      <w:tr w14:paraId="0B851E5A">
        <w:tblPrEx>
          <w:tblCellMar>
            <w:top w:w="0" w:type="dxa"/>
            <w:left w:w="108" w:type="dxa"/>
            <w:bottom w:w="0" w:type="dxa"/>
            <w:right w:w="108" w:type="dxa"/>
          </w:tblCellMar>
        </w:tblPrEx>
        <w:trPr>
          <w:trHeight w:val="907" w:hRule="exact"/>
          <w:jc w:val="center"/>
        </w:trPr>
        <w:tc>
          <w:tcPr>
            <w:tcW w:w="4819" w:type="dxa"/>
            <w:tcBorders>
              <w:top w:val="single" w:color="auto" w:sz="4" w:space="0"/>
              <w:left w:val="single" w:color="auto" w:sz="4" w:space="0"/>
              <w:bottom w:val="single" w:color="auto" w:sz="4" w:space="0"/>
              <w:right w:val="single" w:color="auto" w:sz="4" w:space="0"/>
            </w:tcBorders>
            <w:noWrap/>
            <w:vAlign w:val="bottom"/>
          </w:tcPr>
          <w:p w14:paraId="02B87BFA">
            <w:pPr>
              <w:widowControl/>
              <w:spacing w:line="720" w:lineRule="auto"/>
              <w:jc w:val="left"/>
              <w:rPr>
                <w:rFonts w:hint="eastAsia" w:ascii="宋体" w:hAnsi="宋体" w:eastAsia="宋体" w:cs="宋体"/>
                <w:kern w:val="0"/>
                <w:sz w:val="28"/>
                <w:szCs w:val="28"/>
              </w:rPr>
            </w:pPr>
            <w:r>
              <w:rPr>
                <w:rFonts w:hint="eastAsia" w:ascii="宋体" w:hAnsi="宋体" w:eastAsia="宋体" w:cs="宋体"/>
                <w:kern w:val="0"/>
                <w:sz w:val="28"/>
                <w:szCs w:val="28"/>
              </w:rPr>
              <w:t>5000万元以上-1亿元（含）部分</w:t>
            </w:r>
          </w:p>
        </w:tc>
        <w:tc>
          <w:tcPr>
            <w:tcW w:w="1560" w:type="dxa"/>
            <w:tcBorders>
              <w:top w:val="single" w:color="auto" w:sz="4" w:space="0"/>
              <w:left w:val="single" w:color="auto" w:sz="4" w:space="0"/>
              <w:bottom w:val="single" w:color="auto" w:sz="4" w:space="0"/>
              <w:right w:val="single" w:color="auto" w:sz="4" w:space="0"/>
            </w:tcBorders>
            <w:noWrap/>
            <w:vAlign w:val="bottom"/>
          </w:tcPr>
          <w:p w14:paraId="7A78EAA4">
            <w:pPr>
              <w:spacing w:line="720" w:lineRule="auto"/>
              <w:jc w:val="center"/>
              <w:rPr>
                <w:rFonts w:hint="eastAsia" w:ascii="宋体" w:hAnsi="宋体" w:eastAsia="宋体" w:cs="宋体"/>
                <w:sz w:val="28"/>
                <w:szCs w:val="28"/>
              </w:rPr>
            </w:pPr>
            <w:r>
              <w:rPr>
                <w:rFonts w:hint="eastAsia" w:ascii="宋体" w:hAnsi="宋体" w:eastAsia="宋体" w:cs="宋体"/>
                <w:sz w:val="28"/>
                <w:szCs w:val="28"/>
              </w:rPr>
              <w:t>0.1%</w:t>
            </w:r>
          </w:p>
        </w:tc>
        <w:tc>
          <w:tcPr>
            <w:tcW w:w="2547" w:type="dxa"/>
            <w:vMerge w:val="continue"/>
            <w:tcBorders>
              <w:left w:val="single" w:color="auto" w:sz="4" w:space="0"/>
              <w:right w:val="single" w:color="auto" w:sz="4" w:space="0"/>
            </w:tcBorders>
            <w:vAlign w:val="center"/>
          </w:tcPr>
          <w:p w14:paraId="0BCE7C59">
            <w:pPr>
              <w:widowControl/>
              <w:spacing w:line="720" w:lineRule="auto"/>
              <w:jc w:val="left"/>
              <w:rPr>
                <w:rFonts w:hint="eastAsia" w:ascii="宋体" w:hAnsi="宋体" w:eastAsia="宋体" w:cs="宋体"/>
                <w:kern w:val="0"/>
                <w:sz w:val="28"/>
                <w:szCs w:val="28"/>
              </w:rPr>
            </w:pPr>
          </w:p>
        </w:tc>
      </w:tr>
      <w:tr w14:paraId="10C14DC3">
        <w:tblPrEx>
          <w:tblCellMar>
            <w:top w:w="0" w:type="dxa"/>
            <w:left w:w="108" w:type="dxa"/>
            <w:bottom w:w="0" w:type="dxa"/>
            <w:right w:w="108" w:type="dxa"/>
          </w:tblCellMar>
        </w:tblPrEx>
        <w:trPr>
          <w:trHeight w:val="907" w:hRule="exact"/>
          <w:jc w:val="center"/>
        </w:trPr>
        <w:tc>
          <w:tcPr>
            <w:tcW w:w="4819" w:type="dxa"/>
            <w:tcBorders>
              <w:top w:val="single" w:color="auto" w:sz="4" w:space="0"/>
              <w:left w:val="single" w:color="auto" w:sz="4" w:space="0"/>
              <w:bottom w:val="single" w:color="auto" w:sz="4" w:space="0"/>
              <w:right w:val="single" w:color="auto" w:sz="4" w:space="0"/>
            </w:tcBorders>
            <w:noWrap/>
            <w:vAlign w:val="bottom"/>
          </w:tcPr>
          <w:p w14:paraId="0CEA2922">
            <w:pPr>
              <w:widowControl/>
              <w:spacing w:line="720" w:lineRule="auto"/>
              <w:jc w:val="left"/>
              <w:rPr>
                <w:rFonts w:hint="eastAsia" w:ascii="宋体" w:hAnsi="宋体" w:eastAsia="宋体" w:cs="宋体"/>
                <w:kern w:val="0"/>
                <w:sz w:val="28"/>
                <w:szCs w:val="28"/>
              </w:rPr>
            </w:pPr>
            <w:r>
              <w:rPr>
                <w:rFonts w:hint="eastAsia" w:ascii="宋体" w:hAnsi="宋体" w:eastAsia="宋体" w:cs="宋体"/>
                <w:kern w:val="0"/>
                <w:sz w:val="28"/>
                <w:szCs w:val="28"/>
              </w:rPr>
              <w:t>1亿元以上-10亿元（含）部分</w:t>
            </w:r>
          </w:p>
        </w:tc>
        <w:tc>
          <w:tcPr>
            <w:tcW w:w="1560" w:type="dxa"/>
            <w:tcBorders>
              <w:top w:val="single" w:color="auto" w:sz="4" w:space="0"/>
              <w:left w:val="single" w:color="auto" w:sz="4" w:space="0"/>
              <w:bottom w:val="single" w:color="auto" w:sz="4" w:space="0"/>
              <w:right w:val="single" w:color="auto" w:sz="4" w:space="0"/>
            </w:tcBorders>
            <w:noWrap/>
            <w:vAlign w:val="bottom"/>
          </w:tcPr>
          <w:p w14:paraId="0E38A6F1">
            <w:pPr>
              <w:spacing w:line="720" w:lineRule="auto"/>
              <w:jc w:val="center"/>
              <w:rPr>
                <w:rFonts w:hint="eastAsia" w:ascii="宋体" w:hAnsi="宋体" w:eastAsia="宋体" w:cs="宋体"/>
                <w:sz w:val="28"/>
                <w:szCs w:val="28"/>
              </w:rPr>
            </w:pPr>
            <w:r>
              <w:rPr>
                <w:rFonts w:hint="eastAsia" w:ascii="宋体" w:hAnsi="宋体" w:eastAsia="宋体" w:cs="宋体"/>
                <w:sz w:val="28"/>
                <w:szCs w:val="28"/>
              </w:rPr>
              <w:t>0.08%</w:t>
            </w:r>
          </w:p>
        </w:tc>
        <w:tc>
          <w:tcPr>
            <w:tcW w:w="2547" w:type="dxa"/>
            <w:vMerge w:val="continue"/>
            <w:tcBorders>
              <w:left w:val="single" w:color="auto" w:sz="4" w:space="0"/>
              <w:right w:val="single" w:color="auto" w:sz="4" w:space="0"/>
            </w:tcBorders>
            <w:vAlign w:val="center"/>
          </w:tcPr>
          <w:p w14:paraId="2E6917C3">
            <w:pPr>
              <w:widowControl/>
              <w:spacing w:line="720" w:lineRule="auto"/>
              <w:jc w:val="left"/>
              <w:rPr>
                <w:rFonts w:hint="eastAsia" w:ascii="宋体" w:hAnsi="宋体" w:eastAsia="宋体" w:cs="宋体"/>
                <w:kern w:val="0"/>
                <w:sz w:val="28"/>
                <w:szCs w:val="28"/>
              </w:rPr>
            </w:pPr>
          </w:p>
        </w:tc>
      </w:tr>
      <w:tr w14:paraId="7679788F">
        <w:tblPrEx>
          <w:tblCellMar>
            <w:top w:w="0" w:type="dxa"/>
            <w:left w:w="108" w:type="dxa"/>
            <w:bottom w:w="0" w:type="dxa"/>
            <w:right w:w="108" w:type="dxa"/>
          </w:tblCellMar>
        </w:tblPrEx>
        <w:trPr>
          <w:trHeight w:val="907" w:hRule="exact"/>
          <w:jc w:val="center"/>
        </w:trPr>
        <w:tc>
          <w:tcPr>
            <w:tcW w:w="4819" w:type="dxa"/>
            <w:tcBorders>
              <w:top w:val="single" w:color="auto" w:sz="4" w:space="0"/>
              <w:left w:val="single" w:color="auto" w:sz="4" w:space="0"/>
              <w:bottom w:val="single" w:color="auto" w:sz="4" w:space="0"/>
              <w:right w:val="single" w:color="auto" w:sz="4" w:space="0"/>
            </w:tcBorders>
            <w:noWrap/>
            <w:vAlign w:val="bottom"/>
          </w:tcPr>
          <w:p w14:paraId="62D0F4F9">
            <w:pPr>
              <w:widowControl/>
              <w:spacing w:line="720" w:lineRule="auto"/>
              <w:jc w:val="left"/>
              <w:rPr>
                <w:rFonts w:hint="eastAsia" w:ascii="宋体" w:hAnsi="宋体" w:eastAsia="宋体" w:cs="宋体"/>
                <w:kern w:val="0"/>
                <w:sz w:val="28"/>
                <w:szCs w:val="28"/>
              </w:rPr>
            </w:pPr>
            <w:r>
              <w:rPr>
                <w:rFonts w:hint="eastAsia" w:ascii="宋体" w:hAnsi="宋体" w:eastAsia="宋体" w:cs="宋体"/>
                <w:kern w:val="0"/>
                <w:sz w:val="28"/>
                <w:szCs w:val="28"/>
              </w:rPr>
              <w:t>10亿元以上-50亿元（含）部分</w:t>
            </w:r>
          </w:p>
        </w:tc>
        <w:tc>
          <w:tcPr>
            <w:tcW w:w="1560" w:type="dxa"/>
            <w:tcBorders>
              <w:top w:val="single" w:color="auto" w:sz="4" w:space="0"/>
              <w:left w:val="single" w:color="auto" w:sz="4" w:space="0"/>
              <w:bottom w:val="single" w:color="auto" w:sz="4" w:space="0"/>
              <w:right w:val="single" w:color="auto" w:sz="4" w:space="0"/>
            </w:tcBorders>
            <w:noWrap/>
            <w:vAlign w:val="bottom"/>
          </w:tcPr>
          <w:p w14:paraId="0552EB13">
            <w:pPr>
              <w:spacing w:line="720" w:lineRule="auto"/>
              <w:jc w:val="center"/>
              <w:rPr>
                <w:rFonts w:hint="eastAsia" w:ascii="宋体" w:hAnsi="宋体" w:eastAsia="宋体" w:cs="宋体"/>
                <w:sz w:val="28"/>
                <w:szCs w:val="28"/>
              </w:rPr>
            </w:pPr>
            <w:r>
              <w:rPr>
                <w:rFonts w:hint="eastAsia" w:ascii="宋体" w:hAnsi="宋体" w:eastAsia="宋体" w:cs="宋体"/>
                <w:sz w:val="28"/>
                <w:szCs w:val="28"/>
              </w:rPr>
              <w:t>0.06%</w:t>
            </w:r>
          </w:p>
        </w:tc>
        <w:tc>
          <w:tcPr>
            <w:tcW w:w="2547" w:type="dxa"/>
            <w:vMerge w:val="continue"/>
            <w:tcBorders>
              <w:left w:val="single" w:color="auto" w:sz="4" w:space="0"/>
              <w:bottom w:val="single" w:color="auto" w:sz="4" w:space="0"/>
              <w:right w:val="single" w:color="auto" w:sz="4" w:space="0"/>
            </w:tcBorders>
            <w:vAlign w:val="center"/>
          </w:tcPr>
          <w:p w14:paraId="5910D99E">
            <w:pPr>
              <w:widowControl/>
              <w:spacing w:line="720" w:lineRule="auto"/>
              <w:jc w:val="left"/>
              <w:rPr>
                <w:rFonts w:hint="eastAsia" w:ascii="宋体" w:hAnsi="宋体" w:eastAsia="宋体" w:cs="宋体"/>
                <w:kern w:val="0"/>
                <w:sz w:val="28"/>
                <w:szCs w:val="28"/>
              </w:rPr>
            </w:pPr>
          </w:p>
        </w:tc>
      </w:tr>
    </w:tbl>
    <w:p w14:paraId="421007B3">
      <w:pPr>
        <w:spacing w:line="520" w:lineRule="exact"/>
        <w:ind w:firstLine="560" w:firstLineChars="200"/>
        <w:rPr>
          <w:rFonts w:hint="eastAsia" w:ascii="宋体" w:hAnsi="宋体" w:eastAsia="宋体" w:cs="宋体"/>
          <w:color w:val="7030A0"/>
          <w:sz w:val="28"/>
          <w:szCs w:val="28"/>
          <w14:ligatures w14:val="none"/>
        </w:rPr>
      </w:pPr>
      <w:r>
        <w:rPr>
          <w:rFonts w:hint="eastAsia" w:ascii="宋体" w:hAnsi="宋体" w:eastAsia="宋体" w:cs="宋体"/>
          <w:kern w:val="0"/>
          <w:sz w:val="28"/>
          <w:szCs w:val="28"/>
        </w:rPr>
        <w:t>注：超过20亿部分不收取费用，单个项目最低收费600元。</w:t>
      </w:r>
    </w:p>
    <w:p w14:paraId="7C044760">
      <w:pPr>
        <w:spacing w:line="520" w:lineRule="exact"/>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（二）受让（承租）方在签署《成交确认书》后3个工作日内，交易服务费由</w:t>
      </w:r>
      <w:r>
        <w:rPr>
          <w:rFonts w:hint="eastAsia" w:ascii="宋体" w:hAnsi="宋体" w:eastAsia="宋体" w:cs="宋体"/>
          <w:kern w:val="0"/>
          <w:sz w:val="28"/>
          <w:szCs w:val="28"/>
          <w:lang w:val="en-US" w:eastAsia="zh-CN"/>
        </w:rPr>
        <w:t>出租方向</w:t>
      </w:r>
      <w:r>
        <w:rPr>
          <w:rFonts w:hint="eastAsia" w:ascii="宋体" w:hAnsi="宋体" w:eastAsia="宋体" w:cs="宋体"/>
          <w:kern w:val="0"/>
          <w:sz w:val="28"/>
          <w:szCs w:val="28"/>
        </w:rPr>
        <w:t>广州农交所</w:t>
      </w:r>
      <w:r>
        <w:rPr>
          <w:rFonts w:hint="eastAsia" w:ascii="宋体" w:hAnsi="宋体" w:eastAsia="宋体" w:cs="宋体"/>
          <w:kern w:val="0"/>
          <w:sz w:val="28"/>
          <w:szCs w:val="28"/>
          <w:lang w:val="en-US" w:eastAsia="zh-CN"/>
        </w:rPr>
        <w:t>支付</w:t>
      </w:r>
      <w:r>
        <w:rPr>
          <w:rFonts w:hint="eastAsia" w:ascii="宋体" w:hAnsi="宋体" w:eastAsia="宋体" w:cs="宋体"/>
          <w:kern w:val="0"/>
          <w:sz w:val="28"/>
          <w:szCs w:val="28"/>
        </w:rPr>
        <w:t>。</w:t>
      </w:r>
    </w:p>
    <w:p w14:paraId="4B33168D">
      <w:pPr>
        <w:spacing w:line="520" w:lineRule="exact"/>
        <w:ind w:firstLine="562" w:firstLineChars="200"/>
        <w:rPr>
          <w:rFonts w:hint="eastAsia" w:ascii="宋体" w:hAnsi="宋体" w:eastAsia="宋体" w:cs="宋体"/>
          <w:b/>
          <w:bCs/>
          <w:sz w:val="28"/>
          <w:szCs w:val="28"/>
          <w14:ligatures w14:val="none"/>
        </w:rPr>
      </w:pPr>
      <w:r>
        <w:rPr>
          <w:rFonts w:hint="eastAsia" w:ascii="宋体" w:hAnsi="宋体" w:eastAsia="宋体" w:cs="宋体"/>
          <w:b/>
          <w:bCs/>
          <w:sz w:val="28"/>
          <w:szCs w:val="28"/>
          <w14:ligatures w14:val="none"/>
        </w:rPr>
        <w:t>八、联系方式：</w:t>
      </w:r>
    </w:p>
    <w:p w14:paraId="75E57EE1">
      <w:pPr>
        <w:spacing w:line="520" w:lineRule="exact"/>
        <w:ind w:firstLine="560" w:firstLineChars="200"/>
        <w:rPr>
          <w:rFonts w:hint="eastAsia" w:ascii="宋体" w:hAnsi="宋体" w:eastAsia="宋体" w:cs="宋体"/>
          <w:sz w:val="28"/>
          <w:szCs w:val="28"/>
          <w14:ligatures w14:val="none"/>
        </w:rPr>
      </w:pPr>
      <w:r>
        <w:rPr>
          <w:rFonts w:hint="eastAsia" w:ascii="宋体" w:hAnsi="宋体" w:eastAsia="宋体" w:cs="宋体"/>
          <w:sz w:val="28"/>
          <w:szCs w:val="28"/>
          <w14:ligatures w14:val="none"/>
        </w:rPr>
        <w:t>广州农村产权交易所有限公司</w:t>
      </w:r>
    </w:p>
    <w:p w14:paraId="42BBD2DD">
      <w:pPr>
        <w:spacing w:line="520" w:lineRule="exact"/>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rPr>
        <w:t>联系人：</w:t>
      </w:r>
      <w:r>
        <w:rPr>
          <w:rFonts w:hint="eastAsia" w:ascii="宋体" w:hAnsi="宋体" w:eastAsia="宋体" w:cs="宋体"/>
          <w:sz w:val="28"/>
          <w:szCs w:val="28"/>
          <w:lang w:val="en-US" w:eastAsia="zh-CN"/>
        </w:rPr>
        <w:t>郑程文、叶泽鑫</w:t>
      </w:r>
    </w:p>
    <w:p w14:paraId="004179E6">
      <w:pPr>
        <w:spacing w:line="520" w:lineRule="exact"/>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rPr>
        <w:t>电话：020-89160</w:t>
      </w:r>
      <w:r>
        <w:rPr>
          <w:rFonts w:hint="eastAsia" w:ascii="宋体" w:hAnsi="宋体" w:eastAsia="宋体" w:cs="宋体"/>
          <w:sz w:val="28"/>
          <w:szCs w:val="28"/>
          <w:lang w:val="en-US" w:eastAsia="zh-CN"/>
        </w:rPr>
        <w:t>538、020-89160904</w:t>
      </w:r>
      <w:bookmarkStart w:id="7" w:name="_GoBack"/>
      <w:bookmarkEnd w:id="7"/>
    </w:p>
    <w:p w14:paraId="3E2938BA">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14:ligatures w14:val="none"/>
        </w:rPr>
        <w:t>地址：广州市越秀区流花路123号越秀国际会议中心北塔9楼</w:t>
      </w:r>
    </w:p>
    <w:p w14:paraId="327FCD97">
      <w:pPr>
        <w:spacing w:line="520" w:lineRule="exact"/>
        <w:ind w:firstLine="560" w:firstLineChars="200"/>
        <w:rPr>
          <w:rFonts w:hint="eastAsia" w:ascii="宋体" w:hAnsi="宋体" w:eastAsia="宋体" w:cs="宋体"/>
          <w:sz w:val="28"/>
          <w:szCs w:val="28"/>
          <w14:ligatures w14:val="none"/>
        </w:rPr>
      </w:pPr>
    </w:p>
    <w:p w14:paraId="22953464">
      <w:pPr>
        <w:spacing w:line="520" w:lineRule="exact"/>
        <w:ind w:firstLine="560" w:firstLineChars="200"/>
        <w:rPr>
          <w:rFonts w:hint="eastAsia" w:ascii="宋体" w:hAnsi="宋体" w:eastAsia="宋体" w:cs="宋体"/>
          <w:sz w:val="28"/>
          <w:szCs w:val="28"/>
          <w14:ligatures w14:val="none"/>
        </w:rPr>
      </w:pPr>
      <w:r>
        <w:rPr>
          <w:rFonts w:hint="eastAsia" w:ascii="宋体" w:hAnsi="宋体" w:eastAsia="宋体" w:cs="宋体"/>
          <w:sz w:val="28"/>
          <w:szCs w:val="28"/>
          <w14:ligatures w14:val="none"/>
        </w:rPr>
        <w:t>项目业主单位</w:t>
      </w:r>
      <w:r>
        <w:rPr>
          <w:rFonts w:hint="eastAsia" w:ascii="宋体" w:hAnsi="宋体" w:eastAsia="宋体" w:cs="宋体"/>
          <w:sz w:val="28"/>
          <w:szCs w:val="28"/>
          <w:lang w:eastAsia="zh-CN"/>
          <w14:ligatures w14:val="none"/>
        </w:rPr>
        <w:t>：广州市南沙区东涌镇</w:t>
      </w:r>
      <w:r>
        <w:rPr>
          <w:rFonts w:hint="eastAsia" w:ascii="宋体" w:hAnsi="宋体" w:eastAsia="宋体" w:cs="宋体"/>
          <w:sz w:val="28"/>
          <w:szCs w:val="28"/>
          <w:lang w:val="en-US" w:eastAsia="zh-CN"/>
          <w14:ligatures w14:val="none"/>
        </w:rPr>
        <w:t>石基</w:t>
      </w:r>
      <w:r>
        <w:rPr>
          <w:rFonts w:hint="eastAsia" w:ascii="宋体" w:hAnsi="宋体" w:eastAsia="宋体" w:cs="宋体"/>
          <w:sz w:val="28"/>
          <w:szCs w:val="28"/>
          <w:lang w:eastAsia="zh-CN"/>
          <w14:ligatures w14:val="none"/>
        </w:rPr>
        <w:t>股份合作经济联合社</w:t>
      </w:r>
      <w:r>
        <w:rPr>
          <w:rFonts w:hint="eastAsia" w:ascii="宋体" w:hAnsi="宋体" w:eastAsia="宋体" w:cs="宋体"/>
          <w:sz w:val="28"/>
          <w:szCs w:val="28"/>
          <w14:ligatures w14:val="none"/>
        </w:rPr>
        <w:t xml:space="preserve"> </w:t>
      </w:r>
    </w:p>
    <w:p w14:paraId="530D72E4">
      <w:pPr>
        <w:spacing w:line="520" w:lineRule="exact"/>
        <w:ind w:firstLine="560" w:firstLineChars="200"/>
        <w:rPr>
          <w:rFonts w:hint="eastAsia" w:ascii="宋体" w:hAnsi="宋体" w:eastAsia="宋体" w:cs="宋体"/>
          <w:sz w:val="28"/>
          <w:szCs w:val="28"/>
          <w:lang w:val="en-US" w:eastAsia="zh-CN"/>
          <w14:ligatures w14:val="none"/>
        </w:rPr>
      </w:pPr>
      <w:r>
        <w:rPr>
          <w:rFonts w:hint="eastAsia" w:ascii="宋体" w:hAnsi="宋体" w:eastAsia="宋体" w:cs="宋体"/>
          <w:sz w:val="28"/>
          <w:szCs w:val="28"/>
          <w14:ligatures w14:val="none"/>
        </w:rPr>
        <w:t>联系人</w:t>
      </w:r>
      <w:r>
        <w:rPr>
          <w:rFonts w:hint="eastAsia" w:ascii="宋体" w:hAnsi="宋体" w:eastAsia="宋体" w:cs="宋体"/>
          <w:sz w:val="28"/>
          <w:szCs w:val="28"/>
          <w:lang w:eastAsia="zh-CN"/>
          <w14:ligatures w14:val="none"/>
        </w:rPr>
        <w:t>：</w:t>
      </w:r>
      <w:r>
        <w:rPr>
          <w:rFonts w:hint="eastAsia" w:ascii="宋体" w:hAnsi="宋体" w:eastAsia="宋体" w:cs="宋体"/>
          <w:b w:val="0"/>
          <w:bCs/>
          <w:color w:val="auto"/>
          <w:sz w:val="28"/>
          <w:szCs w:val="28"/>
          <w:highlight w:val="none"/>
          <w:u w:val="single"/>
        </w:rPr>
        <w:t>彭兆文</w:t>
      </w:r>
      <w:r>
        <w:rPr>
          <w:rFonts w:hint="eastAsia" w:ascii="宋体" w:hAnsi="宋体" w:eastAsia="宋体" w:cs="宋体"/>
          <w:sz w:val="28"/>
          <w:szCs w:val="28"/>
          <w:lang w:val="en-US" w:eastAsia="zh-CN"/>
          <w14:ligatures w14:val="none"/>
        </w:rPr>
        <w:t xml:space="preserve">  </w:t>
      </w:r>
    </w:p>
    <w:p w14:paraId="3EF2C6CD">
      <w:pPr>
        <w:spacing w:line="520" w:lineRule="exact"/>
        <w:ind w:firstLine="560" w:firstLineChars="200"/>
        <w:rPr>
          <w:rFonts w:hint="eastAsia" w:ascii="宋体" w:hAnsi="宋体" w:eastAsia="宋体" w:cs="宋体"/>
          <w:sz w:val="28"/>
          <w:szCs w:val="28"/>
          <w14:ligatures w14:val="none"/>
        </w:rPr>
      </w:pPr>
      <w:r>
        <w:rPr>
          <w:rFonts w:hint="eastAsia" w:ascii="宋体" w:hAnsi="宋体" w:eastAsia="宋体" w:cs="宋体"/>
          <w:sz w:val="28"/>
          <w:szCs w:val="28"/>
          <w14:ligatures w14:val="none"/>
        </w:rPr>
        <w:t>联系电话</w:t>
      </w:r>
      <w:r>
        <w:rPr>
          <w:rFonts w:hint="eastAsia" w:ascii="宋体" w:hAnsi="宋体" w:eastAsia="宋体" w:cs="宋体"/>
          <w:sz w:val="28"/>
          <w:szCs w:val="28"/>
          <w:lang w:val="en-US" w:eastAsia="zh-CN"/>
          <w14:ligatures w14:val="none"/>
        </w:rPr>
        <w:t xml:space="preserve">： </w:t>
      </w:r>
      <w:r>
        <w:rPr>
          <w:rFonts w:hint="eastAsia" w:ascii="宋体" w:hAnsi="宋体" w:eastAsia="宋体" w:cs="宋体"/>
          <w:b w:val="0"/>
          <w:bCs/>
          <w:color w:val="auto"/>
          <w:sz w:val="28"/>
          <w:szCs w:val="28"/>
          <w:highlight w:val="none"/>
          <w:u w:val="single"/>
        </w:rPr>
        <w:t>020-84905140</w:t>
      </w:r>
      <w:r>
        <w:rPr>
          <w:rFonts w:hint="eastAsia" w:ascii="宋体" w:hAnsi="宋体" w:eastAsia="宋体" w:cs="宋体"/>
          <w:b w:val="0"/>
          <w:bCs/>
          <w:color w:val="auto"/>
          <w:sz w:val="28"/>
          <w:szCs w:val="28"/>
          <w:u w:val="single"/>
          <w:lang w:val="en-US" w:eastAsia="zh-CN"/>
        </w:rPr>
        <w:t xml:space="preserve">  </w:t>
      </w:r>
      <w:r>
        <w:rPr>
          <w:rFonts w:hint="eastAsia" w:ascii="宋体" w:hAnsi="宋体" w:eastAsia="宋体" w:cs="宋体"/>
          <w:sz w:val="28"/>
          <w:szCs w:val="28"/>
          <w:lang w:val="en-US" w:eastAsia="zh-CN"/>
          <w14:ligatures w14:val="none"/>
        </w:rPr>
        <w:t xml:space="preserve">  </w:t>
      </w:r>
      <w:r>
        <w:rPr>
          <w:rFonts w:hint="eastAsia" w:ascii="宋体" w:hAnsi="宋体" w:eastAsia="宋体" w:cs="宋体"/>
          <w:sz w:val="28"/>
          <w:szCs w:val="28"/>
          <w14:ligatures w14:val="none"/>
        </w:rPr>
        <w:t xml:space="preserve">              </w:t>
      </w:r>
    </w:p>
    <w:p w14:paraId="340E9146">
      <w:pPr>
        <w:spacing w:line="520" w:lineRule="exact"/>
        <w:ind w:firstLine="560" w:firstLineChars="200"/>
        <w:rPr>
          <w:rFonts w:hint="eastAsia" w:ascii="宋体" w:hAnsi="宋体" w:eastAsia="宋体" w:cs="宋体"/>
          <w:sz w:val="28"/>
          <w:szCs w:val="28"/>
          <w14:ligatures w14:val="none"/>
        </w:rPr>
      </w:pPr>
      <w:r>
        <w:rPr>
          <w:rFonts w:hint="eastAsia" w:ascii="宋体" w:hAnsi="宋体" w:eastAsia="宋体" w:cs="宋体"/>
          <w:sz w:val="28"/>
          <w:szCs w:val="28"/>
          <w14:ligatures w14:val="none"/>
        </w:rPr>
        <w:t>地址</w:t>
      </w:r>
      <w:r>
        <w:rPr>
          <w:rFonts w:hint="eastAsia" w:ascii="宋体" w:hAnsi="宋体" w:eastAsia="宋体" w:cs="宋体"/>
          <w:sz w:val="28"/>
          <w:szCs w:val="28"/>
          <w:lang w:eastAsia="zh-CN"/>
          <w14:ligatures w14:val="none"/>
        </w:rPr>
        <w:t>：</w:t>
      </w:r>
      <w:r>
        <w:rPr>
          <w:rFonts w:hint="eastAsia" w:ascii="宋体" w:hAnsi="宋体" w:eastAsia="宋体" w:cs="宋体"/>
          <w:b w:val="0"/>
          <w:bCs/>
          <w:color w:val="auto"/>
          <w:kern w:val="0"/>
          <w:sz w:val="28"/>
          <w:szCs w:val="28"/>
          <w:highlight w:val="none"/>
          <w:u w:val="single"/>
        </w:rPr>
        <w:t>广东省广州市南沙区东涌镇石基大道2号</w:t>
      </w:r>
      <w:r>
        <w:rPr>
          <w:rFonts w:hint="eastAsia" w:ascii="宋体" w:hAnsi="宋体" w:eastAsia="宋体" w:cs="宋体"/>
          <w:sz w:val="28"/>
          <w:szCs w:val="28"/>
          <w:lang w:val="en-US" w:eastAsia="zh-CN"/>
          <w14:ligatures w14:val="none"/>
        </w:rPr>
        <w:t xml:space="preserve">  </w:t>
      </w:r>
      <w:r>
        <w:rPr>
          <w:rFonts w:hint="eastAsia" w:ascii="宋体" w:hAnsi="宋体" w:eastAsia="宋体" w:cs="宋体"/>
          <w:sz w:val="28"/>
          <w:szCs w:val="28"/>
          <w14:ligatures w14:val="none"/>
        </w:rPr>
        <w:t xml:space="preserve">              </w:t>
      </w:r>
    </w:p>
    <w:p w14:paraId="73B4264A">
      <w:pPr>
        <w:spacing w:line="520" w:lineRule="exact"/>
        <w:ind w:firstLine="560" w:firstLineChars="200"/>
        <w:jc w:val="right"/>
        <w:rPr>
          <w:rFonts w:hint="eastAsia" w:ascii="宋体" w:hAnsi="宋体" w:eastAsia="宋体" w:cs="宋体"/>
          <w:sz w:val="28"/>
          <w:szCs w:val="28"/>
          <w14:ligatures w14:val="none"/>
        </w:rPr>
      </w:pPr>
      <w:r>
        <w:rPr>
          <w:rFonts w:hint="eastAsia" w:ascii="宋体" w:hAnsi="宋体" w:eastAsia="宋体" w:cs="宋体"/>
          <w:sz w:val="28"/>
          <w:szCs w:val="28"/>
          <w14:ligatures w14:val="none"/>
        </w:rPr>
        <w:t xml:space="preserve">                              </w:t>
      </w:r>
    </w:p>
    <w:p w14:paraId="7619683D">
      <w:pPr>
        <w:spacing w:line="520" w:lineRule="exact"/>
        <w:ind w:firstLine="560" w:firstLineChars="200"/>
        <w:jc w:val="right"/>
        <w:rPr>
          <w:rFonts w:hint="eastAsia" w:ascii="宋体" w:hAnsi="宋体" w:eastAsia="宋体" w:cs="宋体"/>
          <w:sz w:val="28"/>
          <w:szCs w:val="28"/>
          <w:lang w:val="en-US" w:eastAsia="zh-CN"/>
        </w:rPr>
      </w:pPr>
      <w:r>
        <w:rPr>
          <w:rFonts w:hint="eastAsia" w:ascii="宋体" w:hAnsi="宋体" w:eastAsia="宋体" w:cs="宋体"/>
          <w:sz w:val="28"/>
          <w:szCs w:val="28"/>
        </w:rPr>
        <w:t xml:space="preserve"> 2O2</w:t>
      </w:r>
      <w:r>
        <w:rPr>
          <w:rFonts w:hint="eastAsia" w:ascii="宋体" w:hAnsi="宋体" w:eastAsia="宋体" w:cs="宋体"/>
          <w:sz w:val="28"/>
          <w:szCs w:val="28"/>
          <w:lang w:val="en-US" w:eastAsia="zh-CN"/>
        </w:rPr>
        <w:t>5</w:t>
      </w:r>
      <w:r>
        <w:rPr>
          <w:rFonts w:hint="eastAsia" w:ascii="宋体" w:hAnsi="宋体" w:eastAsia="宋体" w:cs="宋体"/>
          <w:sz w:val="28"/>
          <w:szCs w:val="28"/>
        </w:rPr>
        <w:t>年</w:t>
      </w:r>
      <w:r>
        <w:rPr>
          <w:rFonts w:hint="eastAsia" w:ascii="宋体" w:hAnsi="宋体" w:eastAsia="宋体" w:cs="宋体"/>
          <w:sz w:val="28"/>
          <w:szCs w:val="28"/>
          <w:lang w:val="en-US" w:eastAsia="zh-CN"/>
        </w:rPr>
        <w:t>5</w:t>
      </w:r>
      <w:r>
        <w:rPr>
          <w:rFonts w:hint="eastAsia" w:ascii="宋体" w:hAnsi="宋体" w:eastAsia="宋体" w:cs="宋体"/>
          <w:sz w:val="28"/>
          <w:szCs w:val="28"/>
        </w:rPr>
        <w:t>月</w:t>
      </w:r>
      <w:r>
        <w:rPr>
          <w:rFonts w:hint="eastAsia" w:ascii="宋体" w:hAnsi="宋体" w:eastAsia="宋体" w:cs="宋体"/>
          <w:sz w:val="28"/>
          <w:szCs w:val="28"/>
          <w:lang w:val="en-US" w:eastAsia="zh-CN"/>
        </w:rPr>
        <w:t>14日</w:t>
      </w:r>
    </w:p>
    <w:p w14:paraId="59B7034E">
      <w:pPr>
        <w:pStyle w:val="6"/>
      </w:pPr>
    </w:p>
    <w:sectPr>
      <w:pgSz w:w="11906" w:h="16838"/>
      <w:pgMar w:top="1440" w:right="1800" w:bottom="14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BlMWMyNjZlNzExNTkyYjgxNjQ4NDIwYTZhOGI2NTkifQ=="/>
  </w:docVars>
  <w:rsids>
    <w:rsidRoot w:val="00662F90"/>
    <w:rsid w:val="00004164"/>
    <w:rsid w:val="00014C45"/>
    <w:rsid w:val="00024EC6"/>
    <w:rsid w:val="00026CCD"/>
    <w:rsid w:val="00045B73"/>
    <w:rsid w:val="000501E2"/>
    <w:rsid w:val="000549C8"/>
    <w:rsid w:val="00062B94"/>
    <w:rsid w:val="000817A0"/>
    <w:rsid w:val="000A0DF6"/>
    <w:rsid w:val="000B52B7"/>
    <w:rsid w:val="0012037D"/>
    <w:rsid w:val="00123784"/>
    <w:rsid w:val="001257AF"/>
    <w:rsid w:val="00131CEE"/>
    <w:rsid w:val="0013735F"/>
    <w:rsid w:val="00142AA7"/>
    <w:rsid w:val="00144F18"/>
    <w:rsid w:val="00152D5A"/>
    <w:rsid w:val="00154DCA"/>
    <w:rsid w:val="00172F70"/>
    <w:rsid w:val="00176037"/>
    <w:rsid w:val="00176169"/>
    <w:rsid w:val="00184FC2"/>
    <w:rsid w:val="00187576"/>
    <w:rsid w:val="00197CA6"/>
    <w:rsid w:val="001A449A"/>
    <w:rsid w:val="001B43FC"/>
    <w:rsid w:val="001C4D79"/>
    <w:rsid w:val="001D55A9"/>
    <w:rsid w:val="001E5984"/>
    <w:rsid w:val="001E61D3"/>
    <w:rsid w:val="001F1CB8"/>
    <w:rsid w:val="00207F32"/>
    <w:rsid w:val="00214AB9"/>
    <w:rsid w:val="0024428A"/>
    <w:rsid w:val="00252BB0"/>
    <w:rsid w:val="002546ED"/>
    <w:rsid w:val="00256D19"/>
    <w:rsid w:val="00261FF1"/>
    <w:rsid w:val="00274181"/>
    <w:rsid w:val="00285016"/>
    <w:rsid w:val="002920A0"/>
    <w:rsid w:val="00294320"/>
    <w:rsid w:val="002A78E9"/>
    <w:rsid w:val="002F6A6D"/>
    <w:rsid w:val="00345B8F"/>
    <w:rsid w:val="00360EF2"/>
    <w:rsid w:val="003662F8"/>
    <w:rsid w:val="0037730F"/>
    <w:rsid w:val="0038669F"/>
    <w:rsid w:val="00387FB7"/>
    <w:rsid w:val="0039660A"/>
    <w:rsid w:val="003B5009"/>
    <w:rsid w:val="003B6198"/>
    <w:rsid w:val="003B6742"/>
    <w:rsid w:val="003C6640"/>
    <w:rsid w:val="003C7FAE"/>
    <w:rsid w:val="003D0A99"/>
    <w:rsid w:val="003F1AF3"/>
    <w:rsid w:val="003F664A"/>
    <w:rsid w:val="00406728"/>
    <w:rsid w:val="00410F0C"/>
    <w:rsid w:val="00420860"/>
    <w:rsid w:val="004216BC"/>
    <w:rsid w:val="00430C12"/>
    <w:rsid w:val="004324E6"/>
    <w:rsid w:val="00434930"/>
    <w:rsid w:val="00444635"/>
    <w:rsid w:val="0044751F"/>
    <w:rsid w:val="004539EB"/>
    <w:rsid w:val="00453E79"/>
    <w:rsid w:val="00454C14"/>
    <w:rsid w:val="00465CEE"/>
    <w:rsid w:val="00482244"/>
    <w:rsid w:val="004A5D37"/>
    <w:rsid w:val="004A5E83"/>
    <w:rsid w:val="004C63D8"/>
    <w:rsid w:val="004D6763"/>
    <w:rsid w:val="004E0FE5"/>
    <w:rsid w:val="004E2DEE"/>
    <w:rsid w:val="00511C83"/>
    <w:rsid w:val="00516398"/>
    <w:rsid w:val="005309F3"/>
    <w:rsid w:val="00533F9F"/>
    <w:rsid w:val="005402E9"/>
    <w:rsid w:val="00544C0C"/>
    <w:rsid w:val="00547A3B"/>
    <w:rsid w:val="00564D9B"/>
    <w:rsid w:val="005736AE"/>
    <w:rsid w:val="00573748"/>
    <w:rsid w:val="005823EC"/>
    <w:rsid w:val="00586E5D"/>
    <w:rsid w:val="00593272"/>
    <w:rsid w:val="005A21E7"/>
    <w:rsid w:val="005A2AA3"/>
    <w:rsid w:val="005B0F7A"/>
    <w:rsid w:val="005C3E82"/>
    <w:rsid w:val="005E2305"/>
    <w:rsid w:val="005F1D72"/>
    <w:rsid w:val="00614B5D"/>
    <w:rsid w:val="0066239E"/>
    <w:rsid w:val="00662F90"/>
    <w:rsid w:val="00663B74"/>
    <w:rsid w:val="00665EB0"/>
    <w:rsid w:val="0067534A"/>
    <w:rsid w:val="006951EC"/>
    <w:rsid w:val="006A17D6"/>
    <w:rsid w:val="006A297F"/>
    <w:rsid w:val="006B005F"/>
    <w:rsid w:val="006B37D1"/>
    <w:rsid w:val="006D23AC"/>
    <w:rsid w:val="006E76F2"/>
    <w:rsid w:val="006F3920"/>
    <w:rsid w:val="007228BF"/>
    <w:rsid w:val="0072329D"/>
    <w:rsid w:val="00727A75"/>
    <w:rsid w:val="00734D52"/>
    <w:rsid w:val="00737CA9"/>
    <w:rsid w:val="007468C3"/>
    <w:rsid w:val="0074755F"/>
    <w:rsid w:val="007518E7"/>
    <w:rsid w:val="007649F3"/>
    <w:rsid w:val="00782ADD"/>
    <w:rsid w:val="007834FA"/>
    <w:rsid w:val="00784520"/>
    <w:rsid w:val="007855E8"/>
    <w:rsid w:val="00795ABF"/>
    <w:rsid w:val="007A54BA"/>
    <w:rsid w:val="007A7574"/>
    <w:rsid w:val="007B17D3"/>
    <w:rsid w:val="007B6C1C"/>
    <w:rsid w:val="007D7A2B"/>
    <w:rsid w:val="007E39AF"/>
    <w:rsid w:val="007E6F1A"/>
    <w:rsid w:val="007F2D41"/>
    <w:rsid w:val="007F60DA"/>
    <w:rsid w:val="00811544"/>
    <w:rsid w:val="00836D0E"/>
    <w:rsid w:val="00840A87"/>
    <w:rsid w:val="00844C17"/>
    <w:rsid w:val="00847053"/>
    <w:rsid w:val="00863020"/>
    <w:rsid w:val="00865E86"/>
    <w:rsid w:val="00872D1C"/>
    <w:rsid w:val="0088388D"/>
    <w:rsid w:val="0088717D"/>
    <w:rsid w:val="008A26C1"/>
    <w:rsid w:val="008A28FA"/>
    <w:rsid w:val="008A315A"/>
    <w:rsid w:val="008D427C"/>
    <w:rsid w:val="008E103C"/>
    <w:rsid w:val="008F1A21"/>
    <w:rsid w:val="009104BE"/>
    <w:rsid w:val="00923B00"/>
    <w:rsid w:val="00942C9D"/>
    <w:rsid w:val="009548A1"/>
    <w:rsid w:val="00962CE3"/>
    <w:rsid w:val="00975C38"/>
    <w:rsid w:val="00987BD2"/>
    <w:rsid w:val="0099531F"/>
    <w:rsid w:val="00997C59"/>
    <w:rsid w:val="009C68FA"/>
    <w:rsid w:val="009D4F02"/>
    <w:rsid w:val="00A0486F"/>
    <w:rsid w:val="00A41967"/>
    <w:rsid w:val="00A47A28"/>
    <w:rsid w:val="00A754AA"/>
    <w:rsid w:val="00A76DBB"/>
    <w:rsid w:val="00A77F5A"/>
    <w:rsid w:val="00A936C1"/>
    <w:rsid w:val="00A96E1C"/>
    <w:rsid w:val="00A97073"/>
    <w:rsid w:val="00AB304B"/>
    <w:rsid w:val="00AB42AF"/>
    <w:rsid w:val="00AB55E1"/>
    <w:rsid w:val="00AC6F32"/>
    <w:rsid w:val="00AF2FD1"/>
    <w:rsid w:val="00B053ED"/>
    <w:rsid w:val="00B15712"/>
    <w:rsid w:val="00B15F18"/>
    <w:rsid w:val="00B25003"/>
    <w:rsid w:val="00B255EF"/>
    <w:rsid w:val="00B34499"/>
    <w:rsid w:val="00B420AC"/>
    <w:rsid w:val="00B50CE6"/>
    <w:rsid w:val="00B54AAC"/>
    <w:rsid w:val="00B55834"/>
    <w:rsid w:val="00B5660C"/>
    <w:rsid w:val="00B63F0D"/>
    <w:rsid w:val="00B72E02"/>
    <w:rsid w:val="00B736EC"/>
    <w:rsid w:val="00B74FB2"/>
    <w:rsid w:val="00B800E2"/>
    <w:rsid w:val="00B870E3"/>
    <w:rsid w:val="00B9748E"/>
    <w:rsid w:val="00BB07AE"/>
    <w:rsid w:val="00BC6D73"/>
    <w:rsid w:val="00BD1D16"/>
    <w:rsid w:val="00BD3CB0"/>
    <w:rsid w:val="00BD5718"/>
    <w:rsid w:val="00BD5ABD"/>
    <w:rsid w:val="00BF5A15"/>
    <w:rsid w:val="00C15376"/>
    <w:rsid w:val="00C17B56"/>
    <w:rsid w:val="00C34625"/>
    <w:rsid w:val="00C36212"/>
    <w:rsid w:val="00C37909"/>
    <w:rsid w:val="00C4497E"/>
    <w:rsid w:val="00C46106"/>
    <w:rsid w:val="00C670CA"/>
    <w:rsid w:val="00C75056"/>
    <w:rsid w:val="00C84AE2"/>
    <w:rsid w:val="00C86A5E"/>
    <w:rsid w:val="00CA2912"/>
    <w:rsid w:val="00CB71A7"/>
    <w:rsid w:val="00CB72E4"/>
    <w:rsid w:val="00CC1F30"/>
    <w:rsid w:val="00CF625A"/>
    <w:rsid w:val="00CF6EDA"/>
    <w:rsid w:val="00D002C7"/>
    <w:rsid w:val="00D06303"/>
    <w:rsid w:val="00D0652A"/>
    <w:rsid w:val="00D17F33"/>
    <w:rsid w:val="00D33BA5"/>
    <w:rsid w:val="00D341DD"/>
    <w:rsid w:val="00D359F7"/>
    <w:rsid w:val="00D424FF"/>
    <w:rsid w:val="00D455C4"/>
    <w:rsid w:val="00D63DE2"/>
    <w:rsid w:val="00D646E4"/>
    <w:rsid w:val="00D7286A"/>
    <w:rsid w:val="00D81B19"/>
    <w:rsid w:val="00D924F2"/>
    <w:rsid w:val="00D9341D"/>
    <w:rsid w:val="00DA1B1E"/>
    <w:rsid w:val="00DA22F0"/>
    <w:rsid w:val="00DA6FA8"/>
    <w:rsid w:val="00DB0B98"/>
    <w:rsid w:val="00DB1F38"/>
    <w:rsid w:val="00DF03B4"/>
    <w:rsid w:val="00DF2CB3"/>
    <w:rsid w:val="00E26F1A"/>
    <w:rsid w:val="00E27C3F"/>
    <w:rsid w:val="00E36AEB"/>
    <w:rsid w:val="00E370D6"/>
    <w:rsid w:val="00E4626F"/>
    <w:rsid w:val="00E5563F"/>
    <w:rsid w:val="00EA0E6A"/>
    <w:rsid w:val="00EA29CB"/>
    <w:rsid w:val="00EA5A5A"/>
    <w:rsid w:val="00EA692D"/>
    <w:rsid w:val="00EC041B"/>
    <w:rsid w:val="00EC70B9"/>
    <w:rsid w:val="00ED3C9E"/>
    <w:rsid w:val="00ED3E0B"/>
    <w:rsid w:val="00EE10E3"/>
    <w:rsid w:val="00EE3F17"/>
    <w:rsid w:val="00EF08DA"/>
    <w:rsid w:val="00EF14FD"/>
    <w:rsid w:val="00F009C4"/>
    <w:rsid w:val="00F07D16"/>
    <w:rsid w:val="00F11F3B"/>
    <w:rsid w:val="00F153E9"/>
    <w:rsid w:val="00F34E16"/>
    <w:rsid w:val="00F44454"/>
    <w:rsid w:val="00F55BE2"/>
    <w:rsid w:val="00F57D0B"/>
    <w:rsid w:val="00F65EBE"/>
    <w:rsid w:val="00F778C0"/>
    <w:rsid w:val="00FA2DB2"/>
    <w:rsid w:val="00FB6EA8"/>
    <w:rsid w:val="00FC26CB"/>
    <w:rsid w:val="01552327"/>
    <w:rsid w:val="06233BF8"/>
    <w:rsid w:val="081630F2"/>
    <w:rsid w:val="08F37BCD"/>
    <w:rsid w:val="0F950AA8"/>
    <w:rsid w:val="0FB6788B"/>
    <w:rsid w:val="16E25D04"/>
    <w:rsid w:val="27BB1C4F"/>
    <w:rsid w:val="2D312EEF"/>
    <w:rsid w:val="2D746964"/>
    <w:rsid w:val="2D811081"/>
    <w:rsid w:val="34801C14"/>
    <w:rsid w:val="3E140190"/>
    <w:rsid w:val="483A4891"/>
    <w:rsid w:val="4AB47FD0"/>
    <w:rsid w:val="4FE75FCC"/>
    <w:rsid w:val="51937451"/>
    <w:rsid w:val="54F53386"/>
    <w:rsid w:val="54F73314"/>
    <w:rsid w:val="57AA5B60"/>
    <w:rsid w:val="630E06E5"/>
    <w:rsid w:val="65EB1F49"/>
    <w:rsid w:val="6848193A"/>
    <w:rsid w:val="78C73895"/>
    <w:rsid w:val="7A4A04DE"/>
    <w:rsid w:val="7AD568EC"/>
    <w:rsid w:val="7E0D3D37"/>
    <w:rsid w:val="7FEA5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4"/>
    <w:semiHidden/>
    <w:unhideWhenUsed/>
    <w:qFormat/>
    <w:uiPriority w:val="99"/>
    <w:pPr>
      <w:spacing w:after="120"/>
    </w:pPr>
  </w:style>
  <w:style w:type="paragraph" w:styleId="3">
    <w:name w:val="Date"/>
    <w:basedOn w:val="1"/>
    <w:next w:val="1"/>
    <w:link w:val="16"/>
    <w:semiHidden/>
    <w:unhideWhenUsed/>
    <w:qFormat/>
    <w:uiPriority w:val="99"/>
    <w:pPr>
      <w:ind w:left="100" w:leftChars="2500"/>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tabs>
        <w:tab w:val="center" w:pos="4153"/>
        <w:tab w:val="right" w:pos="8306"/>
      </w:tabs>
      <w:snapToGrid w:val="0"/>
      <w:jc w:val="center"/>
    </w:pPr>
    <w:rPr>
      <w:sz w:val="18"/>
      <w:szCs w:val="18"/>
    </w:rPr>
  </w:style>
  <w:style w:type="paragraph" w:styleId="6">
    <w:name w:val="Body Text First Indent"/>
    <w:basedOn w:val="2"/>
    <w:link w:val="15"/>
    <w:qFormat/>
    <w:uiPriority w:val="0"/>
    <w:pPr>
      <w:ind w:firstLine="420" w:firstLineChars="100"/>
    </w:pPr>
    <w:rPr>
      <w:rFonts w:ascii="Calibri" w:hAnsi="Calibri" w:eastAsia="宋体" w:cs="Times New Roman"/>
      <w:szCs w:val="24"/>
      <w14:ligatures w14:val="none"/>
    </w:rPr>
  </w:style>
  <w:style w:type="character" w:styleId="9">
    <w:name w:val="FollowedHyperlink"/>
    <w:basedOn w:val="8"/>
    <w:semiHidden/>
    <w:unhideWhenUsed/>
    <w:qFormat/>
    <w:uiPriority w:val="99"/>
    <w:rPr>
      <w:color w:val="954F72" w:themeColor="followedHyperlink"/>
      <w:u w:val="single"/>
      <w14:textFill>
        <w14:solidFill>
          <w14:schemeClr w14:val="folHlink"/>
        </w14:solidFill>
      </w14:textFill>
    </w:rPr>
  </w:style>
  <w:style w:type="character" w:styleId="10">
    <w:name w:val="Hyperlink"/>
    <w:basedOn w:val="8"/>
    <w:unhideWhenUsed/>
    <w:qFormat/>
    <w:uiPriority w:val="99"/>
    <w:rPr>
      <w:color w:val="0563C1" w:themeColor="hyperlink"/>
      <w:u w:val="single"/>
      <w14:textFill>
        <w14:solidFill>
          <w14:schemeClr w14:val="hlink"/>
        </w14:solidFill>
      </w14:textFill>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未处理的提及1"/>
    <w:basedOn w:val="8"/>
    <w:semiHidden/>
    <w:unhideWhenUsed/>
    <w:qFormat/>
    <w:uiPriority w:val="99"/>
    <w:rPr>
      <w:color w:val="605E5C"/>
      <w:shd w:val="clear" w:color="auto" w:fill="E1DFDD"/>
    </w:rPr>
  </w:style>
  <w:style w:type="character" w:customStyle="1" w:styleId="14">
    <w:name w:val="正文文本 字符"/>
    <w:basedOn w:val="8"/>
    <w:link w:val="2"/>
    <w:semiHidden/>
    <w:qFormat/>
    <w:uiPriority w:val="99"/>
  </w:style>
  <w:style w:type="character" w:customStyle="1" w:styleId="15">
    <w:name w:val="正文文本首行缩进 字符"/>
    <w:basedOn w:val="14"/>
    <w:link w:val="6"/>
    <w:qFormat/>
    <w:uiPriority w:val="0"/>
    <w:rPr>
      <w:rFonts w:ascii="Calibri" w:hAnsi="Calibri" w:eastAsia="宋体" w:cs="Times New Roman"/>
      <w:szCs w:val="24"/>
      <w14:ligatures w14:val="none"/>
    </w:rPr>
  </w:style>
  <w:style w:type="character" w:customStyle="1" w:styleId="16">
    <w:name w:val="日期 字符"/>
    <w:basedOn w:val="8"/>
    <w:link w:val="3"/>
    <w:semiHidden/>
    <w:qFormat/>
    <w:uiPriority w:val="99"/>
    <w:rPr>
      <w:rFonts w:asciiTheme="minorHAnsi" w:hAnsiTheme="minorHAnsi" w:eastAsiaTheme="minorEastAsia" w:cstheme="minorBidi"/>
      <w:kern w:val="2"/>
      <w:sz w:val="21"/>
      <w:szCs w:val="22"/>
      <w14:ligatures w14:val="standardContextua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5217</Words>
  <Characters>5588</Characters>
  <Lines>145</Lines>
  <Paragraphs>124</Paragraphs>
  <TotalTime>1</TotalTime>
  <ScaleCrop>false</ScaleCrop>
  <LinksUpToDate>false</LinksUpToDate>
  <CharactersWithSpaces>5613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2024-06-05T02:29:00Z</dcterms:created>
  <dc:creator>李 艳婷</dc:creator>
  <cp:lastModifiedBy>程</cp:lastModifiedBy>
  <cp:lastPrinted>2025-05-07T01:54:00Z</cp:lastPrinted>
  <dcterms:modified xsi:type="dcterms:W3CDTF">2025-05-14T02:31:36Z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410B5B335F00472088AE6B41325AED14</vt:lpwstr>
  </property>
  <property fmtid="{D5CDD505-2E9C-101B-9397-08002B2CF9AE}" pid="4" name="KSOTemplateDocerSaveRecord">
    <vt:lpwstr>eyJoZGlkIjoiZjBlMWMyNjZlNzExNTkyYjgxNjQ4NDIwYTZhOGI2NTkiLCJ1c2VySWQiOiI5NzYxNjQ5NDEifQ==</vt:lpwstr>
  </property>
</Properties>
</file>